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5B7491" w:rsidRPr="005B7491" w:rsidTr="005B7491">
        <w:trPr>
          <w:tblCellSpacing w:w="0" w:type="dxa"/>
        </w:trPr>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71"/>
              <w:gridCol w:w="7521"/>
            </w:tblGrid>
            <w:tr w:rsidR="005B7491" w:rsidRPr="005B7491">
              <w:trPr>
                <w:trHeight w:val="450"/>
                <w:tblCellSpacing w:w="0" w:type="dxa"/>
              </w:trPr>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b/>
                      <w:bCs/>
                      <w:color w:val="333399"/>
                      <w:sz w:val="21"/>
                      <w:szCs w:val="21"/>
                    </w:rPr>
                  </w:pPr>
                  <w:r w:rsidRPr="005B7491">
                    <w:rPr>
                      <w:rFonts w:ascii="Times New Roman" w:eastAsia="Times New Roman" w:hAnsi="Times New Roman" w:cs="Times New Roman"/>
                      <w:b/>
                      <w:bCs/>
                      <w:color w:val="333399"/>
                      <w:sz w:val="21"/>
                      <w:szCs w:val="21"/>
                    </w:rPr>
                    <w:t>Glossary</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b/>
                      <w:bCs/>
                      <w:color w:val="333399"/>
                      <w:sz w:val="21"/>
                      <w:szCs w:val="21"/>
                    </w:rPr>
                  </w:pPr>
                </w:p>
              </w:tc>
            </w:tr>
            <w:tr w:rsidR="005B7491" w:rsidRPr="005B7491">
              <w:trPr>
                <w:tblCellSpacing w:w="0" w:type="dxa"/>
              </w:trPr>
              <w:tc>
                <w:tcPr>
                  <w:tcW w:w="0" w:type="auto"/>
                  <w:shd w:val="clear" w:color="auto" w:fill="DDDDDD"/>
                  <w:vAlign w:val="center"/>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Chapter 16</w:t>
                  </w:r>
                </w:p>
              </w:tc>
              <w:tc>
                <w:tcPr>
                  <w:tcW w:w="0" w:type="auto"/>
                  <w:shd w:val="clear" w:color="auto" w:fill="DDDDDD"/>
                  <w:vAlign w:val="center"/>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Association for Healthcare Documentation Integrity (AHDI)</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professional organization in the field of medical transcription/editing</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auditor</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a person responsible for determining the final content of a document and the document’s correctness in every aspect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authentication</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dictating provider signs or authenticates the document indicating that the information was accurate and complete at the time of signing</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autopsy report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also called an autopsy protocol, a necropsy report, or a medical examiner report. Autopsies are performed to determine the cause of death or to ascertain and confirm disease presence.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Certified Medical Transcriptionist (CMT)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completion of a two-part certification examination administered by the Association for Healthcare Documentation Integrity (AHDI)</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chart notes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(also called progress notes) provider’s formal or informal notes about presenting problem, physical findings, and plan for treatment for a patient examined in the office, clinic, acute care center, or emergency department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chief complaint (CC)</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specific symptom or problem for which the patient is seeing the provider today</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confidentiality</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ethical and legal rules in regard to patient privacy</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confidentiality agreement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when signed, the agreement signifies that the medical transcriptionist is committed to keep all patient information confidential</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consultation report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document that reports the findings and advice of another provider requested to see a patient by the attending provider</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current reports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reports such as history and physical examinations that should be complete within 24 hours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discharge summary (DS)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medical reports that document the hospitalization history of a patient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editor</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a person responsible for determining the final content of a document and the document’s correctness in every aspect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flag</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method of identifying a blank space or a question regarding dictator’s meaning by attaching a note or marker to indicate the question</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gross examination</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viewing specimens with the naked eye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history and physical examination report (H&amp;P)</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report of patient’s history and physical examination to document reason for visit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history of present illness (HPI)</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the chronologic description of the development of the patient’s illness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Joint Commission</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 xml:space="preserve">formerly the Joint </w:t>
                  </w:r>
                  <w:proofErr w:type="spellStart"/>
                  <w:r w:rsidRPr="005B7491">
                    <w:rPr>
                      <w:rFonts w:ascii="Times New Roman" w:eastAsia="Times New Roman" w:hAnsi="Times New Roman" w:cs="Times New Roman"/>
                      <w:color w:val="000000"/>
                      <w:sz w:val="18"/>
                      <w:szCs w:val="18"/>
                    </w:rPr>
                    <w:t>Commision</w:t>
                  </w:r>
                  <w:proofErr w:type="spellEnd"/>
                  <w:r w:rsidRPr="005B7491">
                    <w:rPr>
                      <w:rFonts w:ascii="Times New Roman" w:eastAsia="Times New Roman" w:hAnsi="Times New Roman" w:cs="Times New Roman"/>
                      <w:color w:val="000000"/>
                      <w:sz w:val="18"/>
                      <w:szCs w:val="18"/>
                    </w:rPr>
                    <w:t xml:space="preserve"> on Accreditation of Healthcare Organizations, a commission established to improve the quality of care and services provided in organized health care setting, through a voluntary accreditation process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microscopic examination</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viewing a specimen with the aid of a microscope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lastRenderedPageBreak/>
                    <w:t>old reports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reports such as a discharge summary that should be completed within 71 hours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operative report (OR)</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medical report that chronicles the details of a surgical procedure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outsourcing</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the practice of contracting with a service outside of the clinic or hospital to a company where the task can be accomplished at a lower cost and with a faster turnaround time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pathology report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medical reports generated to describe the gross and microscopic examinations performed during a surgical procedure</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present problem (PP)</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specific symptom or problem for which the patient is seeing the provider today</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privileged</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confidential information that may only be communicated with the patient’s permission or by court order</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progress notes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also called chart notes. Provider’s formal or informal notes about presenting problem, physical findings, and plan for treatment for a patient examined in the office, clinic, acute care center, or emergency department.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quality assurance (QA)</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process to provide accurate, complete, consistent health care documentation in a timely manner while making every reasonable effort to resolve inconsistencies, inaccuracies, risk management issues, and other problems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radiology and imaging reports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medical reports that describe the findings and interpretations of the radiologist</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registered medical transcriptionist (RMT)</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completion of a two-part certification examination administered by the Association for Healthcare Documentation Integrity (AHDI)</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review of systems (ROS)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proofErr w:type="spellStart"/>
                  <w:r w:rsidRPr="005B7491">
                    <w:rPr>
                      <w:rFonts w:ascii="Times New Roman" w:eastAsia="Times New Roman" w:hAnsi="Times New Roman" w:cs="Times New Roman"/>
                      <w:color w:val="000000"/>
                      <w:sz w:val="18"/>
                      <w:szCs w:val="18"/>
                    </w:rPr>
                    <w:t>inquires</w:t>
                  </w:r>
                  <w:proofErr w:type="spellEnd"/>
                  <w:r w:rsidRPr="005B7491">
                    <w:rPr>
                      <w:rFonts w:ascii="Times New Roman" w:eastAsia="Times New Roman" w:hAnsi="Times New Roman" w:cs="Times New Roman"/>
                      <w:color w:val="000000"/>
                      <w:sz w:val="18"/>
                      <w:szCs w:val="18"/>
                    </w:rPr>
                    <w:t xml:space="preserve"> about the system directly related to the problems identified in the history of the present illness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transcriber</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device that makes it possible to transform voice recordings into a transcript or printed documents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turnaround time</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specific time limits established for completion of medical reports</w:t>
                  </w:r>
                </w:p>
              </w:tc>
            </w:tr>
            <w:tr w:rsidR="005B7491" w:rsidRPr="005B7491">
              <w:trPr>
                <w:tblCellSpacing w:w="0" w:type="dxa"/>
              </w:trPr>
              <w:tc>
                <w:tcPr>
                  <w:tcW w:w="750" w:type="pct"/>
                  <w:hideMark/>
                </w:tcPr>
                <w:p w:rsidR="005B7491" w:rsidRPr="005B7491" w:rsidRDefault="005B7491" w:rsidP="005B7491">
                  <w:pPr>
                    <w:spacing w:after="0" w:line="240" w:lineRule="auto"/>
                    <w:rPr>
                      <w:rFonts w:ascii="Times New Roman" w:eastAsia="Times New Roman" w:hAnsi="Times New Roman" w:cs="Times New Roman"/>
                      <w:b/>
                      <w:bCs/>
                      <w:color w:val="000000"/>
                      <w:sz w:val="18"/>
                      <w:szCs w:val="18"/>
                    </w:rPr>
                  </w:pPr>
                  <w:r w:rsidRPr="005B7491">
                    <w:rPr>
                      <w:rFonts w:ascii="Times New Roman" w:eastAsia="Times New Roman" w:hAnsi="Times New Roman" w:cs="Times New Roman"/>
                      <w:b/>
                      <w:bCs/>
                      <w:color w:val="000000"/>
                      <w:sz w:val="18"/>
                      <w:szCs w:val="18"/>
                    </w:rPr>
                    <w:t>voice recognition software (VRS)</w:t>
                  </w:r>
                </w:p>
              </w:tc>
              <w:tc>
                <w:tcPr>
                  <w:tcW w:w="0" w:type="auto"/>
                  <w:vAlign w:val="center"/>
                  <w:hideMark/>
                </w:tcPr>
                <w:p w:rsidR="005B7491" w:rsidRPr="005B7491" w:rsidRDefault="005B7491" w:rsidP="005B7491">
                  <w:pPr>
                    <w:spacing w:after="0" w:line="240" w:lineRule="auto"/>
                    <w:rPr>
                      <w:rFonts w:ascii="Times New Roman" w:eastAsia="Times New Roman" w:hAnsi="Times New Roman" w:cs="Times New Roman"/>
                      <w:color w:val="000000"/>
                      <w:sz w:val="18"/>
                      <w:szCs w:val="18"/>
                    </w:rPr>
                  </w:pPr>
                  <w:r w:rsidRPr="005B7491">
                    <w:rPr>
                      <w:rFonts w:ascii="Times New Roman" w:eastAsia="Times New Roman" w:hAnsi="Times New Roman" w:cs="Times New Roman"/>
                      <w:color w:val="000000"/>
                      <w:sz w:val="18"/>
                      <w:szCs w:val="18"/>
                    </w:rPr>
                    <w:t>software that translates voice commands and is used in place of a mouse and keyboard</w:t>
                  </w:r>
                </w:p>
              </w:tc>
            </w:tr>
          </w:tbl>
          <w:p w:rsidR="005B7491" w:rsidRPr="005B7491" w:rsidRDefault="005B7491" w:rsidP="005B7491">
            <w:pPr>
              <w:spacing w:after="0" w:line="240" w:lineRule="auto"/>
              <w:rPr>
                <w:rFonts w:ascii="Times New Roman" w:eastAsia="Times New Roman" w:hAnsi="Times New Roman" w:cs="Times New Roman"/>
                <w:color w:val="000000"/>
                <w:sz w:val="17"/>
                <w:szCs w:val="17"/>
              </w:rPr>
            </w:pPr>
          </w:p>
        </w:tc>
        <w:tc>
          <w:tcPr>
            <w:tcW w:w="250" w:type="pct"/>
            <w:hideMark/>
          </w:tcPr>
          <w:p w:rsidR="005B7491" w:rsidRPr="005B7491" w:rsidRDefault="005B7491" w:rsidP="005B7491">
            <w:pPr>
              <w:spacing w:after="0" w:line="240" w:lineRule="auto"/>
              <w:rPr>
                <w:rFonts w:ascii="Times New Roman" w:eastAsia="Times New Roman" w:hAnsi="Times New Roman" w:cs="Times New Roman"/>
                <w:color w:val="000000"/>
                <w:sz w:val="17"/>
                <w:szCs w:val="17"/>
              </w:rPr>
            </w:pPr>
            <w:r w:rsidRPr="005B7491">
              <w:rPr>
                <w:rFonts w:ascii="Times New Roman" w:eastAsia="Times New Roman" w:hAnsi="Times New Roman" w:cs="Times New Roman"/>
                <w:noProof/>
                <w:color w:val="000000"/>
                <w:sz w:val="17"/>
                <w:szCs w:val="17"/>
              </w:rPr>
              <w:lastRenderedPageBreak/>
              <w:drawing>
                <wp:inline distT="0" distB="0" distL="0" distR="0" wp14:anchorId="0B760806" wp14:editId="3D4B2614">
                  <wp:extent cx="101600" cy="12700"/>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gage.com/imag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inline>
              </w:drawing>
            </w:r>
          </w:p>
        </w:tc>
      </w:tr>
    </w:tbl>
    <w:p w:rsidR="006D101A" w:rsidRDefault="006D101A" w:rsidP="006D101A">
      <w:r w:rsidRPr="006515AD">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6D101A" w:rsidRDefault="006D101A" w:rsidP="006D101A"/>
    <w:p w:rsidR="006D101A" w:rsidRDefault="006D101A" w:rsidP="006D101A">
      <w:r w:rsidRPr="0013083C">
        <w:rPr>
          <w:noProof/>
        </w:rPr>
        <w:drawing>
          <wp:inline distT="0" distB="0" distL="0" distR="0">
            <wp:extent cx="6381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6D101A" w:rsidRDefault="006D101A" w:rsidP="006D101A">
      <w:r w:rsidRPr="006515AD">
        <w:t xml:space="preserve">This work is licensed under a </w:t>
      </w:r>
      <w:hyperlink r:id="rId6" w:history="1">
        <w:r w:rsidRPr="004E1388">
          <w:rPr>
            <w:rStyle w:val="Hyperlink"/>
          </w:rPr>
          <w:t>Creative Commons Attribution 4.0 International License</w:t>
        </w:r>
      </w:hyperlink>
      <w:r w:rsidRPr="006515AD">
        <w:t>.</w:t>
      </w:r>
    </w:p>
    <w:p w:rsidR="00776E8F" w:rsidRPr="005B7491" w:rsidRDefault="00776E8F">
      <w:pPr>
        <w:rPr>
          <w:rFonts w:ascii="Times New Roman" w:hAnsi="Times New Roman" w:cs="Times New Roman"/>
        </w:rPr>
      </w:pPr>
      <w:bookmarkStart w:id="0" w:name="_GoBack"/>
      <w:bookmarkEnd w:id="0"/>
    </w:p>
    <w:sectPr w:rsidR="00776E8F" w:rsidRPr="005B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1"/>
    <w:rsid w:val="005B7491"/>
    <w:rsid w:val="006D101A"/>
    <w:rsid w:val="0077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839C-301A-416D-89E8-B9489745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commons.org/licenses/by/4.0/" TargetMode="External"/><Relationship Id="rId5" Type="http://schemas.openxmlformats.org/officeDocument/2006/relationships/image" Target="media/image2.e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2</cp:revision>
  <dcterms:created xsi:type="dcterms:W3CDTF">2016-02-10T20:30:00Z</dcterms:created>
  <dcterms:modified xsi:type="dcterms:W3CDTF">2016-06-14T23:14:00Z</dcterms:modified>
</cp:coreProperties>
</file>