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078"/>
        <w:gridCol w:w="3090"/>
      </w:tblGrid>
      <w:tr w:rsidR="00AF5ADC" w:rsidTr="002E52A6">
        <w:tc>
          <w:tcPr>
            <w:tcW w:w="3192" w:type="dxa"/>
          </w:tcPr>
          <w:p w:rsidR="00AF5ADC" w:rsidRDefault="00AF5ADC" w:rsidP="002E52A6">
            <w:pPr>
              <w:rPr>
                <w:sz w:val="28"/>
                <w:szCs w:val="28"/>
              </w:rPr>
            </w:pPr>
          </w:p>
          <w:p w:rsidR="00AF5ADC" w:rsidRDefault="00AF5ADC" w:rsidP="002E52A6">
            <w:pPr>
              <w:rPr>
                <w:sz w:val="28"/>
                <w:szCs w:val="28"/>
              </w:rPr>
            </w:pPr>
            <w:r w:rsidRPr="00F40EBD">
              <w:rPr>
                <w:noProof/>
              </w:rPr>
              <w:drawing>
                <wp:inline distT="0" distB="0" distL="0" distR="0" wp14:anchorId="3E9C723B" wp14:editId="12D727F0">
                  <wp:extent cx="1266825" cy="409575"/>
                  <wp:effectExtent l="0" t="0" r="9525" b="9525"/>
                  <wp:docPr id="8" name="Picture 8" descr="C:\Users\mgardner3\AppData\Local\Microsoft\Windows\Temporary Internet Files\Content.Outlook\YR1SR102\StateFair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ardner3\AppData\Local\Microsoft\Windows\Temporary Internet Files\Content.Outlook\YR1SR102\StateFairB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409575"/>
                          </a:xfrm>
                          <a:prstGeom prst="rect">
                            <a:avLst/>
                          </a:prstGeom>
                          <a:noFill/>
                          <a:ln>
                            <a:noFill/>
                          </a:ln>
                        </pic:spPr>
                      </pic:pic>
                    </a:graphicData>
                  </a:graphic>
                </wp:inline>
              </w:drawing>
            </w:r>
          </w:p>
        </w:tc>
        <w:tc>
          <w:tcPr>
            <w:tcW w:w="3078" w:type="dxa"/>
          </w:tcPr>
          <w:p w:rsidR="00AF5ADC" w:rsidRDefault="00AF5ADC" w:rsidP="002E52A6">
            <w:pPr>
              <w:jc w:val="center"/>
              <w:rPr>
                <w:b/>
                <w:sz w:val="24"/>
                <w:szCs w:val="24"/>
              </w:rPr>
            </w:pPr>
          </w:p>
          <w:p w:rsidR="004A2412" w:rsidRDefault="004A2412" w:rsidP="002E52A6">
            <w:pPr>
              <w:jc w:val="center"/>
              <w:rPr>
                <w:b/>
                <w:sz w:val="24"/>
                <w:szCs w:val="24"/>
              </w:rPr>
            </w:pPr>
            <w:r>
              <w:rPr>
                <w:b/>
                <w:sz w:val="24"/>
                <w:szCs w:val="24"/>
              </w:rPr>
              <w:t>Machinist Level 1</w:t>
            </w:r>
          </w:p>
          <w:p w:rsidR="00AF5ADC" w:rsidRPr="009A0EEA" w:rsidRDefault="004A2412" w:rsidP="002E52A6">
            <w:pPr>
              <w:jc w:val="center"/>
              <w:rPr>
                <w:b/>
                <w:sz w:val="24"/>
                <w:szCs w:val="24"/>
              </w:rPr>
            </w:pPr>
            <w:r>
              <w:rPr>
                <w:b/>
                <w:sz w:val="24"/>
                <w:szCs w:val="24"/>
              </w:rPr>
              <w:t>Skills Certificate</w:t>
            </w:r>
          </w:p>
          <w:p w:rsidR="00AF5ADC" w:rsidRDefault="006159F0" w:rsidP="002E52A6">
            <w:pPr>
              <w:jc w:val="center"/>
              <w:rPr>
                <w:b/>
                <w:sz w:val="24"/>
                <w:szCs w:val="24"/>
              </w:rPr>
            </w:pPr>
            <w:r>
              <w:rPr>
                <w:b/>
                <w:sz w:val="24"/>
                <w:szCs w:val="24"/>
              </w:rPr>
              <w:t>MACH</w:t>
            </w:r>
            <w:r w:rsidR="00EC6759">
              <w:rPr>
                <w:b/>
                <w:sz w:val="24"/>
                <w:szCs w:val="24"/>
              </w:rPr>
              <w:t xml:space="preserve"> 106</w:t>
            </w:r>
            <w:r w:rsidR="00AF5ADC">
              <w:rPr>
                <w:b/>
                <w:sz w:val="24"/>
                <w:szCs w:val="24"/>
              </w:rPr>
              <w:t xml:space="preserve"> </w:t>
            </w:r>
          </w:p>
          <w:p w:rsidR="00AF5ADC" w:rsidRDefault="00AF5ADC" w:rsidP="002E52A6">
            <w:pPr>
              <w:jc w:val="center"/>
              <w:rPr>
                <w:b/>
                <w:sz w:val="24"/>
                <w:szCs w:val="24"/>
              </w:rPr>
            </w:pPr>
            <w:r>
              <w:rPr>
                <w:b/>
                <w:sz w:val="24"/>
                <w:szCs w:val="24"/>
              </w:rPr>
              <w:t>Instructional Materials</w:t>
            </w:r>
            <w:r w:rsidRPr="009A0EEA">
              <w:rPr>
                <w:b/>
                <w:sz w:val="24"/>
                <w:szCs w:val="24"/>
              </w:rPr>
              <w:t xml:space="preserve"> </w:t>
            </w:r>
          </w:p>
          <w:p w:rsidR="00AF5ADC" w:rsidRPr="000C142F" w:rsidRDefault="00AF5ADC" w:rsidP="002E52A6">
            <w:pPr>
              <w:jc w:val="center"/>
              <w:rPr>
                <w:sz w:val="24"/>
                <w:szCs w:val="24"/>
              </w:rPr>
            </w:pPr>
          </w:p>
        </w:tc>
        <w:tc>
          <w:tcPr>
            <w:tcW w:w="3090" w:type="dxa"/>
          </w:tcPr>
          <w:p w:rsidR="00AF5ADC" w:rsidRDefault="00AF5ADC" w:rsidP="002E52A6">
            <w:pPr>
              <w:jc w:val="right"/>
              <w:rPr>
                <w:sz w:val="28"/>
                <w:szCs w:val="28"/>
              </w:rPr>
            </w:pPr>
          </w:p>
          <w:p w:rsidR="00AF5ADC" w:rsidRDefault="00AF5ADC" w:rsidP="002E52A6">
            <w:pPr>
              <w:jc w:val="right"/>
              <w:rPr>
                <w:sz w:val="28"/>
                <w:szCs w:val="28"/>
              </w:rPr>
            </w:pPr>
            <w:r w:rsidRPr="00F40EBD">
              <w:rPr>
                <w:noProof/>
              </w:rPr>
              <w:drawing>
                <wp:inline distT="0" distB="0" distL="0" distR="0" wp14:anchorId="6323E83E" wp14:editId="73918C5B">
                  <wp:extent cx="809625" cy="466725"/>
                  <wp:effectExtent l="0" t="0" r="9525" b="9525"/>
                  <wp:docPr id="7" name="Picture 7" descr="C:\Users\mgardner3\AppData\Local\Microsoft\Windows\Temporary Internet Files\Content.Outlook\YR1SR102\MoManufactu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gardner3\AppData\Local\Microsoft\Windows\Temporary Internet Files\Content.Outlook\YR1SR102\MoManufacturin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466725"/>
                          </a:xfrm>
                          <a:prstGeom prst="rect">
                            <a:avLst/>
                          </a:prstGeom>
                          <a:noFill/>
                          <a:ln>
                            <a:noFill/>
                          </a:ln>
                        </pic:spPr>
                      </pic:pic>
                    </a:graphicData>
                  </a:graphic>
                </wp:inline>
              </w:drawing>
            </w:r>
          </w:p>
        </w:tc>
      </w:tr>
    </w:tbl>
    <w:p w:rsidR="00AF5ADC" w:rsidRDefault="00AF5ADC" w:rsidP="004C0CCF">
      <w:pPr>
        <w:ind w:left="0" w:firstLine="0"/>
        <w:jc w:val="center"/>
        <w:rPr>
          <w:b/>
          <w:sz w:val="28"/>
          <w:szCs w:val="28"/>
        </w:rPr>
      </w:pPr>
    </w:p>
    <w:p w:rsidR="004C0CCF" w:rsidRPr="0002173D" w:rsidRDefault="004C0CCF" w:rsidP="004C0CCF">
      <w:pPr>
        <w:ind w:left="0" w:firstLine="0"/>
        <w:jc w:val="center"/>
        <w:rPr>
          <w:b/>
          <w:sz w:val="28"/>
          <w:szCs w:val="28"/>
        </w:rPr>
      </w:pPr>
      <w:r w:rsidRPr="0002173D">
        <w:rPr>
          <w:b/>
          <w:sz w:val="28"/>
          <w:szCs w:val="28"/>
        </w:rPr>
        <w:t>Mo</w:t>
      </w:r>
      <w:r w:rsidR="0002173D" w:rsidRPr="0002173D">
        <w:rPr>
          <w:b/>
          <w:sz w:val="28"/>
          <w:szCs w:val="28"/>
        </w:rPr>
        <w:t>Manufacturing</w:t>
      </w:r>
      <w:r w:rsidRPr="0002173D">
        <w:rPr>
          <w:b/>
          <w:sz w:val="28"/>
          <w:szCs w:val="28"/>
        </w:rPr>
        <w:t xml:space="preserve">WINs </w:t>
      </w:r>
    </w:p>
    <w:p w:rsidR="00A715B3" w:rsidRPr="0002173D" w:rsidRDefault="009B48CB" w:rsidP="004C0CCF">
      <w:pPr>
        <w:ind w:left="0" w:firstLine="0"/>
        <w:jc w:val="center"/>
        <w:rPr>
          <w:b/>
          <w:sz w:val="28"/>
          <w:szCs w:val="28"/>
        </w:rPr>
      </w:pPr>
      <w:r w:rsidRPr="0002173D">
        <w:rPr>
          <w:b/>
          <w:sz w:val="28"/>
          <w:szCs w:val="28"/>
        </w:rPr>
        <w:t>Instructional Materials</w:t>
      </w:r>
      <w:r w:rsidR="004C0CCF" w:rsidRPr="0002173D">
        <w:rPr>
          <w:b/>
          <w:sz w:val="28"/>
          <w:szCs w:val="28"/>
        </w:rPr>
        <w:t xml:space="preserve"> </w:t>
      </w:r>
    </w:p>
    <w:p w:rsidR="004C0CCF" w:rsidRDefault="004C0CCF" w:rsidP="004C0CCF">
      <w:pPr>
        <w:ind w:left="0" w:firstLine="0"/>
        <w:rPr>
          <w:b/>
        </w:rPr>
      </w:pPr>
    </w:p>
    <w:p w:rsidR="004C0CCF" w:rsidRPr="0002173D" w:rsidRDefault="004C0CCF" w:rsidP="004C0CCF">
      <w:pPr>
        <w:ind w:left="0" w:firstLine="0"/>
      </w:pPr>
      <w:r w:rsidRPr="0002173D">
        <w:t xml:space="preserve">Please list your </w:t>
      </w:r>
      <w:r w:rsidR="009B48CB" w:rsidRPr="0002173D">
        <w:t>instructional materials</w:t>
      </w:r>
      <w:r w:rsidR="0002173D" w:rsidRPr="0002173D">
        <w:t xml:space="preserve"> and resources</w:t>
      </w:r>
      <w:r w:rsidR="009B48CB" w:rsidRPr="0002173D">
        <w:t>; i.e., readings, websites, ancillary materials</w:t>
      </w:r>
      <w:r w:rsidR="0002173D" w:rsidRPr="0002173D">
        <w:t xml:space="preserve"> and</w:t>
      </w:r>
      <w:r w:rsidR="009B48CB" w:rsidRPr="0002173D">
        <w:t xml:space="preserve"> </w:t>
      </w:r>
      <w:r w:rsidR="0002173D" w:rsidRPr="0002173D">
        <w:t xml:space="preserve">major laboratory tools and equipment. SMEs will be looking for evidence that the program/course is linked to current industry standards and certifications and is enhanced, as possible, with online or technology-enabled learning. </w:t>
      </w:r>
      <w:r w:rsidR="000A5D3E">
        <w:t xml:space="preserve"> (Please see STLCC example.)</w:t>
      </w:r>
    </w:p>
    <w:p w:rsidR="004C0CCF" w:rsidRDefault="004C0CCF" w:rsidP="004C0CCF">
      <w:pPr>
        <w:ind w:left="0" w:firstLine="0"/>
        <w:rPr>
          <w:b/>
        </w:rPr>
      </w:pPr>
    </w:p>
    <w:p w:rsidR="00C01B2B" w:rsidRDefault="00C01B2B" w:rsidP="004C0CCF">
      <w:pPr>
        <w:ind w:left="0" w:firstLine="0"/>
        <w:rPr>
          <w:b/>
        </w:rPr>
      </w:pPr>
      <w:r>
        <w:rPr>
          <w:b/>
        </w:rPr>
        <w:t>Readings:</w:t>
      </w:r>
    </w:p>
    <w:p w:rsidR="003D1C47" w:rsidRDefault="003D1C47" w:rsidP="003D1C47">
      <w:pPr>
        <w:ind w:left="0" w:firstLine="0"/>
      </w:pPr>
      <w:r w:rsidRPr="003D1C47">
        <w:rPr>
          <w:b/>
        </w:rPr>
        <w:t xml:space="preserve">TEXTBOOK:  </w:t>
      </w:r>
      <w:r w:rsidR="00B8389A" w:rsidRPr="00B8389A">
        <w:t>CNC Machining Fundamentals and Applications</w:t>
      </w:r>
    </w:p>
    <w:p w:rsidR="00B8389A" w:rsidRDefault="00B8389A" w:rsidP="003D1C47">
      <w:pPr>
        <w:ind w:left="0" w:firstLine="0"/>
      </w:pPr>
      <w:r>
        <w:t>Author: Richard Gizelbach</w:t>
      </w:r>
    </w:p>
    <w:p w:rsidR="00B8389A" w:rsidRPr="003D1C47" w:rsidRDefault="00B8389A" w:rsidP="003D1C47">
      <w:pPr>
        <w:ind w:left="0" w:firstLine="0"/>
        <w:rPr>
          <w:b/>
        </w:rPr>
      </w:pPr>
      <w:r>
        <w:t>ISBN: 9781590707906</w:t>
      </w:r>
    </w:p>
    <w:p w:rsidR="003D1C47" w:rsidRPr="00B8389A" w:rsidRDefault="003D1C47" w:rsidP="003D1C47">
      <w:pPr>
        <w:ind w:left="0" w:firstLine="0"/>
      </w:pPr>
      <w:r w:rsidRPr="00B8389A">
        <w:rPr>
          <w:b/>
        </w:rPr>
        <w:t>WORKBOOK:</w:t>
      </w:r>
      <w:r w:rsidRPr="00B8389A">
        <w:t xml:space="preserve">  </w:t>
      </w:r>
      <w:r w:rsidR="00B8389A" w:rsidRPr="00B8389A">
        <w:t>Haas Programming workbook (campus print)</w:t>
      </w:r>
    </w:p>
    <w:p w:rsidR="005F5F1D" w:rsidRDefault="005F5F1D" w:rsidP="003D1C47">
      <w:pPr>
        <w:ind w:left="0" w:firstLine="0"/>
        <w:rPr>
          <w:b/>
        </w:rPr>
      </w:pPr>
    </w:p>
    <w:p w:rsidR="003D1C47" w:rsidRPr="003D1C47" w:rsidRDefault="003D1C47" w:rsidP="003D1C47">
      <w:pPr>
        <w:ind w:left="0" w:firstLine="0"/>
        <w:rPr>
          <w:b/>
        </w:rPr>
      </w:pPr>
      <w:r w:rsidRPr="003D1C47">
        <w:rPr>
          <w:b/>
        </w:rPr>
        <w:t xml:space="preserve">LAB TOOLS:  </w:t>
      </w:r>
    </w:p>
    <w:p w:rsidR="003D1C47" w:rsidRPr="005F5F1D" w:rsidRDefault="003D1C47" w:rsidP="003D1C47">
      <w:pPr>
        <w:ind w:left="0" w:firstLine="0"/>
      </w:pPr>
      <w:r w:rsidRPr="005F5F1D">
        <w:t xml:space="preserve">NIMS ENROLLMENT (One-time fee) </w:t>
      </w:r>
      <w:r w:rsidRPr="005F5F1D">
        <w:tab/>
        <w:t xml:space="preserve">(On-line registration)      </w:t>
      </w:r>
      <w:r w:rsidR="005F5F1D">
        <w:t xml:space="preserve">   </w:t>
      </w:r>
      <w:r w:rsidRPr="005F5F1D">
        <w:t xml:space="preserve">   $40 </w:t>
      </w:r>
    </w:p>
    <w:p w:rsidR="003D1C47" w:rsidRPr="005F5F1D" w:rsidRDefault="003D1C47" w:rsidP="003D1C47">
      <w:pPr>
        <w:ind w:left="0" w:firstLine="0"/>
      </w:pPr>
      <w:r w:rsidRPr="005F5F1D">
        <w:t xml:space="preserve">NIMS EXAM  </w:t>
      </w:r>
      <w:r w:rsidRPr="005F5F1D">
        <w:tab/>
        <w:t xml:space="preserve"> </w:t>
      </w:r>
      <w:r w:rsidRPr="005F5F1D">
        <w:tab/>
        <w:t xml:space="preserve">            (On-line) </w:t>
      </w:r>
      <w:r w:rsidRPr="005F5F1D">
        <w:tab/>
        <w:t xml:space="preserve"> </w:t>
      </w:r>
      <w:r w:rsidRPr="005F5F1D">
        <w:tab/>
      </w:r>
      <w:r w:rsidRPr="005F5F1D">
        <w:tab/>
      </w:r>
      <w:r w:rsidRPr="005F5F1D">
        <w:tab/>
      </w:r>
      <w:r w:rsidRPr="005F5F1D">
        <w:tab/>
        <w:t xml:space="preserve">$28 </w:t>
      </w:r>
    </w:p>
    <w:p w:rsidR="003D1C47" w:rsidRPr="005F5F1D" w:rsidRDefault="003D1C47" w:rsidP="003D1C47">
      <w:pPr>
        <w:ind w:left="0" w:firstLine="0"/>
      </w:pPr>
      <w:r w:rsidRPr="005F5F1D">
        <w:t xml:space="preserve">CALCULATOR capable of performing Trigonometry functions </w:t>
      </w:r>
    </w:p>
    <w:p w:rsidR="003D1C47" w:rsidRPr="005F5F1D" w:rsidRDefault="003D1C47" w:rsidP="003D1C47">
      <w:pPr>
        <w:ind w:left="0" w:firstLine="0"/>
      </w:pPr>
      <w:r w:rsidRPr="005F5F1D">
        <w:t xml:space="preserve">SAFETY GLASSES </w:t>
      </w:r>
      <w:r w:rsidRPr="005F5F1D">
        <w:tab/>
        <w:t xml:space="preserve"> </w:t>
      </w:r>
      <w:r w:rsidRPr="005F5F1D">
        <w:tab/>
        <w:t xml:space="preserve"> </w:t>
      </w:r>
      <w:r w:rsidRPr="005F5F1D">
        <w:tab/>
        <w:t xml:space="preserve"> </w:t>
      </w:r>
      <w:r w:rsidRPr="005F5F1D">
        <w:tab/>
        <w:t xml:space="preserve">(Campus Store) </w:t>
      </w:r>
      <w:r w:rsidRPr="005F5F1D">
        <w:tab/>
        <w:t xml:space="preserve">             $2.25 </w:t>
      </w:r>
    </w:p>
    <w:p w:rsidR="003D1C47" w:rsidRPr="005F5F1D" w:rsidRDefault="003D1C47" w:rsidP="003D1C47">
      <w:pPr>
        <w:ind w:left="0" w:firstLine="0"/>
      </w:pPr>
      <w:r w:rsidRPr="005F5F1D">
        <w:t xml:space="preserve">TOOL KIT   </w:t>
      </w:r>
      <w:r w:rsidRPr="005F5F1D">
        <w:tab/>
        <w:t xml:space="preserve"> </w:t>
      </w:r>
      <w:r w:rsidRPr="005F5F1D">
        <w:tab/>
        <w:t xml:space="preserve"> </w:t>
      </w:r>
      <w:r w:rsidRPr="005F5F1D">
        <w:tab/>
        <w:t xml:space="preserve"> </w:t>
      </w:r>
      <w:r w:rsidRPr="005F5F1D">
        <w:tab/>
        <w:t xml:space="preserve"> </w:t>
      </w:r>
      <w:r w:rsidRPr="005F5F1D">
        <w:tab/>
        <w:t xml:space="preserve">(Campus Store) </w:t>
      </w:r>
      <w:r w:rsidRPr="005F5F1D">
        <w:tab/>
        <w:t xml:space="preserve">             $375</w:t>
      </w:r>
    </w:p>
    <w:p w:rsidR="00F5022C" w:rsidRDefault="00F5022C" w:rsidP="004C0CCF">
      <w:pPr>
        <w:ind w:left="0" w:firstLine="0"/>
        <w:rPr>
          <w:b/>
        </w:rPr>
      </w:pPr>
    </w:p>
    <w:p w:rsidR="00F5022C" w:rsidRDefault="005F5F1D" w:rsidP="004C0CCF">
      <w:pPr>
        <w:ind w:left="0" w:firstLine="0"/>
        <w:rPr>
          <w:b/>
        </w:rPr>
      </w:pPr>
      <w:r>
        <w:rPr>
          <w:b/>
        </w:rPr>
        <w:t xml:space="preserve">Additional </w:t>
      </w:r>
      <w:r w:rsidR="00F5022C">
        <w:rPr>
          <w:b/>
        </w:rPr>
        <w:t>Instructional Materials</w:t>
      </w:r>
      <w:r w:rsidR="00C01B2B">
        <w:rPr>
          <w:b/>
        </w:rPr>
        <w:t>:</w:t>
      </w:r>
    </w:p>
    <w:p w:rsidR="00075EB0" w:rsidRPr="005F5F1D" w:rsidRDefault="00075EB0" w:rsidP="004C0CCF">
      <w:pPr>
        <w:ind w:left="0" w:firstLine="0"/>
      </w:pPr>
      <w:r w:rsidRPr="005F5F1D">
        <w:t>Blackboard</w:t>
      </w:r>
      <w:r w:rsidR="005F5F1D" w:rsidRPr="005F5F1D">
        <w:t xml:space="preserve"> (sfccmo.blackboard.com)</w:t>
      </w:r>
    </w:p>
    <w:p w:rsidR="0075077A" w:rsidRDefault="002E0EBE" w:rsidP="006159F0">
      <w:pPr>
        <w:shd w:val="clear" w:color="auto" w:fill="FFFFFF"/>
        <w:spacing w:after="75"/>
        <w:ind w:left="0" w:firstLine="0"/>
        <w:rPr>
          <w:rFonts w:eastAsia="Times New Roman" w:cs="Arial"/>
          <w:color w:val="111111"/>
        </w:rPr>
      </w:pPr>
      <w:r>
        <w:rPr>
          <w:rFonts w:eastAsia="Times New Roman" w:cs="Arial"/>
          <w:color w:val="111111"/>
        </w:rPr>
        <w:t xml:space="preserve">Tooling “U” </w:t>
      </w:r>
      <w:hyperlink r:id="rId10" w:history="1">
        <w:r w:rsidRPr="00050CD2">
          <w:rPr>
            <w:rStyle w:val="Hyperlink"/>
            <w:rFonts w:eastAsia="Times New Roman" w:cs="Arial"/>
          </w:rPr>
          <w:t>www.toolingu.com</w:t>
        </w:r>
      </w:hyperlink>
    </w:p>
    <w:p w:rsidR="00F5022C" w:rsidRDefault="00F5022C" w:rsidP="004C0CCF">
      <w:pPr>
        <w:ind w:left="0" w:firstLine="0"/>
        <w:rPr>
          <w:b/>
        </w:rPr>
      </w:pPr>
    </w:p>
    <w:p w:rsidR="004C0CCF" w:rsidRDefault="005F5F1D" w:rsidP="004C0CCF">
      <w:pPr>
        <w:ind w:left="0" w:firstLine="0"/>
        <w:rPr>
          <w:b/>
        </w:rPr>
      </w:pPr>
      <w:r>
        <w:rPr>
          <w:b/>
        </w:rPr>
        <w:t>Laboratory/</w:t>
      </w:r>
      <w:r w:rsidR="00F5022C">
        <w:rPr>
          <w:b/>
        </w:rPr>
        <w:t>Learning Activity Tools/Equipment</w:t>
      </w:r>
      <w:r>
        <w:rPr>
          <w:b/>
        </w:rPr>
        <w:t>:</w:t>
      </w:r>
    </w:p>
    <w:p w:rsidR="004C0CCF" w:rsidRPr="00B8389A" w:rsidRDefault="00B8389A" w:rsidP="004C0CCF">
      <w:pPr>
        <w:ind w:left="0" w:firstLine="0"/>
      </w:pPr>
      <w:r w:rsidRPr="00B8389A">
        <w:t>Haas VF3 CNC Machining Center</w:t>
      </w:r>
    </w:p>
    <w:p w:rsidR="00B8389A" w:rsidRDefault="00B8389A" w:rsidP="004C0CCF">
      <w:pPr>
        <w:ind w:left="0" w:firstLine="0"/>
      </w:pPr>
      <w:r w:rsidRPr="00B8389A">
        <w:t>Haas TL1 CNC Turning Center</w:t>
      </w:r>
    </w:p>
    <w:p w:rsidR="00B8389A" w:rsidRPr="00B8389A" w:rsidRDefault="00B8389A" w:rsidP="004C0CCF">
      <w:pPr>
        <w:ind w:left="0" w:firstLine="0"/>
      </w:pPr>
      <w:r>
        <w:t>Haas CNC Machine Simulator</w:t>
      </w:r>
    </w:p>
    <w:p w:rsidR="005F5F1D" w:rsidRDefault="005F5F1D" w:rsidP="004C0CCF">
      <w:pPr>
        <w:ind w:left="0" w:firstLine="0"/>
        <w:rPr>
          <w:b/>
        </w:rPr>
      </w:pPr>
    </w:p>
    <w:p w:rsidR="002E0EBE" w:rsidRDefault="002E0EBE" w:rsidP="004C0CCF">
      <w:pPr>
        <w:ind w:left="0" w:firstLine="0"/>
        <w:rPr>
          <w:b/>
        </w:rPr>
      </w:pPr>
    </w:p>
    <w:p w:rsidR="002E0EBE" w:rsidRDefault="002E0EBE" w:rsidP="004C0CCF">
      <w:pPr>
        <w:ind w:left="0" w:firstLine="0"/>
        <w:rPr>
          <w:b/>
        </w:rPr>
      </w:pPr>
    </w:p>
    <w:p w:rsidR="002E0EBE" w:rsidRDefault="002E0EBE" w:rsidP="004C0CCF">
      <w:pPr>
        <w:ind w:left="0" w:firstLine="0"/>
        <w:rPr>
          <w:b/>
        </w:rPr>
      </w:pPr>
    </w:p>
    <w:p w:rsidR="002E0EBE" w:rsidRDefault="002E0EBE" w:rsidP="004C0CCF">
      <w:pPr>
        <w:ind w:left="0" w:firstLine="0"/>
        <w:rPr>
          <w:b/>
        </w:rPr>
      </w:pPr>
    </w:p>
    <w:p w:rsidR="002E0EBE" w:rsidRDefault="002E0EBE" w:rsidP="004C0CCF">
      <w:pPr>
        <w:ind w:left="0" w:firstLine="0"/>
        <w:rPr>
          <w:b/>
        </w:rPr>
      </w:pPr>
    </w:p>
    <w:p w:rsidR="005F5F1D" w:rsidRDefault="005F5F1D" w:rsidP="004C0CCF">
      <w:pPr>
        <w:ind w:left="0" w:firstLine="0"/>
        <w:rPr>
          <w:b/>
        </w:rPr>
      </w:pPr>
    </w:p>
    <w:p w:rsidR="00AF5ADC" w:rsidRDefault="00AF5ADC" w:rsidP="00AF5ADC">
      <w:pPr>
        <w:ind w:left="360"/>
      </w:pPr>
      <w:r w:rsidRPr="00DE6E17">
        <w:rPr>
          <w:noProof/>
        </w:rPr>
        <w:drawing>
          <wp:inline distT="0" distB="0" distL="0" distR="0" wp14:anchorId="24FC378D" wp14:editId="7AEBD11E">
            <wp:extent cx="533270" cy="304954"/>
            <wp:effectExtent l="0" t="0" r="635" b="0"/>
            <wp:docPr id="6" name="Picture 6" descr="C:\Users\mgardner3\AppData\Local\Microsoft\Windows\Temporary Internet Files\Content.Outlook\YR1SR102\MoManufactu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rdner3\AppData\Local\Microsoft\Windows\Temporary Internet Files\Content.Outlook\YR1SR102\MoManufacturing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270" cy="304954"/>
                    </a:xfrm>
                    <a:prstGeom prst="rect">
                      <a:avLst/>
                    </a:prstGeom>
                    <a:noFill/>
                    <a:ln>
                      <a:noFill/>
                    </a:ln>
                  </pic:spPr>
                </pic:pic>
              </a:graphicData>
            </a:graphic>
          </wp:inline>
        </w:drawing>
      </w:r>
    </w:p>
    <w:p w:rsidR="00AF5ADC" w:rsidRPr="005050E0" w:rsidRDefault="00DA031D" w:rsidP="00AF5ADC">
      <w:pPr>
        <w:ind w:left="360"/>
        <w:rPr>
          <w:sz w:val="18"/>
          <w:szCs w:val="18"/>
        </w:rPr>
      </w:pPr>
      <w:r>
        <w:rPr>
          <w:rFonts w:ascii="Cambria" w:hAnsi="Cambria"/>
          <w:i/>
          <w:iCs/>
          <w:sz w:val="18"/>
          <w:szCs w:val="18"/>
        </w:rPr>
        <w:t>This workforce product</w:t>
      </w:r>
      <w:bookmarkStart w:id="0" w:name="_GoBack"/>
      <w:bookmarkEnd w:id="0"/>
      <w:r w:rsidR="00AF5ADC" w:rsidRPr="005050E0">
        <w:rPr>
          <w:rFonts w:ascii="Cambria" w:hAnsi="Cambria"/>
          <w:i/>
          <w:iCs/>
          <w:sz w:val="18"/>
          <w:szCs w:val="18"/>
        </w:rPr>
        <w:t xml:space="preserve"> was funded by a grant awarded by the U.S. Department of Labor’s Employment and Train</w:t>
      </w:r>
      <w:r>
        <w:rPr>
          <w:rFonts w:ascii="Cambria" w:hAnsi="Cambria"/>
          <w:i/>
          <w:iCs/>
          <w:sz w:val="18"/>
          <w:szCs w:val="18"/>
        </w:rPr>
        <w:t>ing Administration. The product</w:t>
      </w:r>
      <w:r w:rsidR="00AF5ADC" w:rsidRPr="005050E0">
        <w:rPr>
          <w:rFonts w:ascii="Cambria" w:hAnsi="Cambria"/>
          <w:i/>
          <w:iCs/>
          <w:sz w:val="18"/>
          <w:szCs w:val="18"/>
        </w:rPr>
        <w:t xml:space="preserve">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AF5ADC" w:rsidRDefault="00AF5ADC" w:rsidP="00AF5ADC">
      <w:pPr>
        <w:tabs>
          <w:tab w:val="left" w:pos="2745"/>
          <w:tab w:val="left" w:pos="3150"/>
        </w:tabs>
        <w:rPr>
          <w:iCs/>
          <w:color w:val="1F497D"/>
          <w:sz w:val="16"/>
          <w:szCs w:val="12"/>
        </w:rPr>
      </w:pPr>
      <w:r>
        <w:rPr>
          <w:iCs/>
          <w:color w:val="1F497D"/>
          <w:sz w:val="16"/>
          <w:szCs w:val="12"/>
        </w:rPr>
        <w:tab/>
      </w:r>
      <w:r>
        <w:rPr>
          <w:iCs/>
          <w:color w:val="1F497D"/>
          <w:sz w:val="16"/>
          <w:szCs w:val="12"/>
        </w:rPr>
        <w:tab/>
      </w:r>
    </w:p>
    <w:p w:rsidR="00AF5ADC" w:rsidRDefault="00AF5ADC" w:rsidP="00AF5ADC">
      <w:pPr>
        <w:rPr>
          <w:iCs/>
          <w:color w:val="1F497D"/>
          <w:sz w:val="16"/>
          <w:szCs w:val="12"/>
        </w:rPr>
      </w:pPr>
      <w:r>
        <w:rPr>
          <w:iCs/>
          <w:noProof/>
          <w:color w:val="1F497D"/>
          <w:sz w:val="16"/>
          <w:szCs w:val="12"/>
        </w:rPr>
        <w:drawing>
          <wp:anchor distT="0" distB="0" distL="114300" distR="114300" simplePos="0" relativeHeight="251659264" behindDoc="0" locked="0" layoutInCell="1" allowOverlap="1" wp14:anchorId="43C2753E" wp14:editId="1618A36B">
            <wp:simplePos x="914400" y="5838825"/>
            <wp:positionH relativeFrom="column">
              <wp:align>left</wp:align>
            </wp:positionH>
            <wp:positionV relativeFrom="paragraph">
              <wp:align>top</wp:align>
            </wp:positionV>
            <wp:extent cx="1228725" cy="428625"/>
            <wp:effectExtent l="0" t="0" r="9525" b="9525"/>
            <wp:wrapSquare wrapText="bothSides"/>
            <wp:docPr id="9" name="Picture 9" descr="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anchor>
        </w:drawing>
      </w:r>
      <w:r>
        <w:rPr>
          <w:iCs/>
          <w:color w:val="1F497D"/>
          <w:sz w:val="16"/>
          <w:szCs w:val="12"/>
        </w:rPr>
        <w:br w:type="textWrapping" w:clear="all"/>
      </w:r>
    </w:p>
    <w:p w:rsidR="00AF5ADC" w:rsidRPr="005050E0" w:rsidRDefault="00AF5ADC" w:rsidP="00AF5ADC">
      <w:pPr>
        <w:ind w:left="360"/>
        <w:rPr>
          <w:sz w:val="18"/>
          <w:szCs w:val="18"/>
        </w:rPr>
      </w:pPr>
      <w:r w:rsidRPr="005050E0">
        <w:rPr>
          <w:sz w:val="18"/>
          <w:szCs w:val="18"/>
        </w:rPr>
        <w:t xml:space="preserve">This work is licensed under the Creative Commons Attribution 4.0 International License. To view a copy of this license, visit </w:t>
      </w:r>
      <w:hyperlink r:id="rId13" w:history="1">
        <w:r w:rsidRPr="005050E0">
          <w:rPr>
            <w:rStyle w:val="Hyperlink"/>
            <w:sz w:val="18"/>
            <w:szCs w:val="18"/>
          </w:rPr>
          <w:t>http://creativecommons.org/licenses/by/4.0/</w:t>
        </w:r>
      </w:hyperlink>
      <w:r w:rsidRPr="005050E0">
        <w:rPr>
          <w:sz w:val="18"/>
          <w:szCs w:val="18"/>
        </w:rPr>
        <w:t xml:space="preserve">. </w:t>
      </w: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02173D" w:rsidRDefault="0002173D" w:rsidP="004C0CCF">
      <w:pPr>
        <w:ind w:left="0" w:firstLine="0"/>
        <w:rPr>
          <w:b/>
        </w:rPr>
      </w:pPr>
    </w:p>
    <w:p w:rsidR="004C0CCF" w:rsidRDefault="004C0CCF" w:rsidP="004C0CCF">
      <w:pPr>
        <w:ind w:left="0" w:firstLine="0"/>
        <w:rPr>
          <w:b/>
        </w:rPr>
      </w:pPr>
    </w:p>
    <w:p w:rsidR="004C0CCF" w:rsidRDefault="004C0CCF" w:rsidP="004C0CCF">
      <w:pPr>
        <w:ind w:left="0" w:firstLine="0"/>
        <w:rPr>
          <w:b/>
        </w:rPr>
      </w:pPr>
    </w:p>
    <w:p w:rsidR="000967B3" w:rsidRDefault="000967B3" w:rsidP="000967B3">
      <w:pPr>
        <w:ind w:left="0" w:firstLine="0"/>
      </w:pPr>
    </w:p>
    <w:p w:rsidR="004C0CCF" w:rsidRPr="004C0CCF" w:rsidRDefault="004C0CCF">
      <w:pPr>
        <w:ind w:left="0" w:firstLine="0"/>
      </w:pPr>
    </w:p>
    <w:sectPr w:rsidR="004C0CCF" w:rsidRPr="004C0CCF" w:rsidSect="00664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07C" w:rsidRDefault="0094707C" w:rsidP="00DE0A6D">
      <w:r>
        <w:separator/>
      </w:r>
    </w:p>
  </w:endnote>
  <w:endnote w:type="continuationSeparator" w:id="0">
    <w:p w:rsidR="0094707C" w:rsidRDefault="0094707C" w:rsidP="00DE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07C" w:rsidRDefault="0094707C" w:rsidP="00DE0A6D">
      <w:r>
        <w:separator/>
      </w:r>
    </w:p>
  </w:footnote>
  <w:footnote w:type="continuationSeparator" w:id="0">
    <w:p w:rsidR="0094707C" w:rsidRDefault="0094707C" w:rsidP="00DE0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37"/>
    <w:multiLevelType w:val="hybridMultilevel"/>
    <w:tmpl w:val="142AF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B3556"/>
    <w:multiLevelType w:val="multilevel"/>
    <w:tmpl w:val="D9F0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119DB"/>
    <w:multiLevelType w:val="multilevel"/>
    <w:tmpl w:val="32C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9385F"/>
    <w:multiLevelType w:val="multilevel"/>
    <w:tmpl w:val="C948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35808"/>
    <w:multiLevelType w:val="multilevel"/>
    <w:tmpl w:val="C0B2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1209E5"/>
    <w:multiLevelType w:val="multilevel"/>
    <w:tmpl w:val="8EC2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F"/>
    <w:rsid w:val="0002173D"/>
    <w:rsid w:val="00045C4A"/>
    <w:rsid w:val="00075EB0"/>
    <w:rsid w:val="000967B3"/>
    <w:rsid w:val="000A5D3E"/>
    <w:rsid w:val="001540DA"/>
    <w:rsid w:val="001E4E1B"/>
    <w:rsid w:val="0022063A"/>
    <w:rsid w:val="00233CF8"/>
    <w:rsid w:val="002E0EBE"/>
    <w:rsid w:val="003D1C47"/>
    <w:rsid w:val="004A2412"/>
    <w:rsid w:val="004C0CCF"/>
    <w:rsid w:val="004E19A6"/>
    <w:rsid w:val="0054038C"/>
    <w:rsid w:val="0057552E"/>
    <w:rsid w:val="005F5F1D"/>
    <w:rsid w:val="006159F0"/>
    <w:rsid w:val="00660626"/>
    <w:rsid w:val="00664D80"/>
    <w:rsid w:val="006E0EA2"/>
    <w:rsid w:val="00710C85"/>
    <w:rsid w:val="00717FE4"/>
    <w:rsid w:val="0075077A"/>
    <w:rsid w:val="0075373E"/>
    <w:rsid w:val="0077734D"/>
    <w:rsid w:val="0094707C"/>
    <w:rsid w:val="009919FB"/>
    <w:rsid w:val="009B48CB"/>
    <w:rsid w:val="009F08CE"/>
    <w:rsid w:val="00A715B3"/>
    <w:rsid w:val="00A76D2D"/>
    <w:rsid w:val="00AF5ADC"/>
    <w:rsid w:val="00B47F91"/>
    <w:rsid w:val="00B8389A"/>
    <w:rsid w:val="00C01B2B"/>
    <w:rsid w:val="00C54873"/>
    <w:rsid w:val="00C96A81"/>
    <w:rsid w:val="00D32A28"/>
    <w:rsid w:val="00D744C9"/>
    <w:rsid w:val="00DA031D"/>
    <w:rsid w:val="00DE0A6D"/>
    <w:rsid w:val="00EC6759"/>
    <w:rsid w:val="00ED3A71"/>
    <w:rsid w:val="00F5022C"/>
    <w:rsid w:val="00F925D1"/>
    <w:rsid w:val="00FC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C7EB71-63B1-4775-88DF-1D925F57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pPr>
        <w:ind w:left="1512"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B3"/>
  </w:style>
  <w:style w:type="paragraph" w:styleId="Heading3">
    <w:name w:val="heading 3"/>
    <w:basedOn w:val="Normal"/>
    <w:link w:val="Heading3Char"/>
    <w:uiPriority w:val="9"/>
    <w:qFormat/>
    <w:rsid w:val="0075077A"/>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8CB"/>
    <w:pPr>
      <w:ind w:left="720"/>
      <w:contextualSpacing/>
    </w:pPr>
  </w:style>
  <w:style w:type="paragraph" w:styleId="Header">
    <w:name w:val="header"/>
    <w:basedOn w:val="Normal"/>
    <w:link w:val="HeaderChar"/>
    <w:uiPriority w:val="99"/>
    <w:semiHidden/>
    <w:unhideWhenUsed/>
    <w:rsid w:val="00DE0A6D"/>
    <w:pPr>
      <w:tabs>
        <w:tab w:val="center" w:pos="4680"/>
        <w:tab w:val="right" w:pos="9360"/>
      </w:tabs>
    </w:pPr>
  </w:style>
  <w:style w:type="character" w:customStyle="1" w:styleId="HeaderChar">
    <w:name w:val="Header Char"/>
    <w:basedOn w:val="DefaultParagraphFont"/>
    <w:link w:val="Header"/>
    <w:uiPriority w:val="99"/>
    <w:semiHidden/>
    <w:rsid w:val="00DE0A6D"/>
  </w:style>
  <w:style w:type="paragraph" w:styleId="Footer">
    <w:name w:val="footer"/>
    <w:basedOn w:val="Normal"/>
    <w:link w:val="FooterChar"/>
    <w:uiPriority w:val="99"/>
    <w:semiHidden/>
    <w:unhideWhenUsed/>
    <w:rsid w:val="00DE0A6D"/>
    <w:pPr>
      <w:tabs>
        <w:tab w:val="center" w:pos="4680"/>
        <w:tab w:val="right" w:pos="9360"/>
      </w:tabs>
    </w:pPr>
  </w:style>
  <w:style w:type="character" w:customStyle="1" w:styleId="FooterChar">
    <w:name w:val="Footer Char"/>
    <w:basedOn w:val="DefaultParagraphFont"/>
    <w:link w:val="Footer"/>
    <w:uiPriority w:val="99"/>
    <w:semiHidden/>
    <w:rsid w:val="00DE0A6D"/>
  </w:style>
  <w:style w:type="character" w:customStyle="1" w:styleId="Heading3Char">
    <w:name w:val="Heading 3 Char"/>
    <w:basedOn w:val="DefaultParagraphFont"/>
    <w:link w:val="Heading3"/>
    <w:uiPriority w:val="9"/>
    <w:rsid w:val="0075077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5077A"/>
  </w:style>
  <w:style w:type="character" w:styleId="Hyperlink">
    <w:name w:val="Hyperlink"/>
    <w:basedOn w:val="DefaultParagraphFont"/>
    <w:unhideWhenUsed/>
    <w:rsid w:val="0075077A"/>
    <w:rPr>
      <w:color w:val="0000FF"/>
      <w:u w:val="single"/>
    </w:rPr>
  </w:style>
  <w:style w:type="table" w:styleId="TableGrid">
    <w:name w:val="Table Grid"/>
    <w:basedOn w:val="TableNormal"/>
    <w:uiPriority w:val="39"/>
    <w:rsid w:val="00AF5ADC"/>
    <w:pPr>
      <w:ind w:left="0" w:firstLine="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ativecommons.org/licenses/by/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olingu.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B9BA2-1E02-4771-8FB6-7CF17FE2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Champion, Ginger</cp:lastModifiedBy>
  <cp:revision>5</cp:revision>
  <cp:lastPrinted>2014-10-30T18:03:00Z</cp:lastPrinted>
  <dcterms:created xsi:type="dcterms:W3CDTF">2015-03-20T16:39:00Z</dcterms:created>
  <dcterms:modified xsi:type="dcterms:W3CDTF">2016-04-12T00:14:00Z</dcterms:modified>
</cp:coreProperties>
</file>