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1" w:rsidRPr="00487426" w:rsidRDefault="00595FC1" w:rsidP="00B40E60">
      <w:pPr>
        <w:ind w:left="0" w:firstLine="0"/>
        <w:rPr>
          <w:i/>
        </w:rPr>
      </w:pPr>
      <w:r w:rsidRPr="00595FC1">
        <w:rPr>
          <w:b/>
          <w:i/>
        </w:rPr>
        <w:t>Complete on</w:t>
      </w:r>
      <w:r>
        <w:rPr>
          <w:b/>
          <w:i/>
        </w:rPr>
        <w:t>e</w:t>
      </w:r>
      <w:r w:rsidRPr="00595FC1">
        <w:rPr>
          <w:b/>
          <w:i/>
        </w:rPr>
        <w:t xml:space="preserve"> table for each program course developed or enhanced with grant funds.</w:t>
      </w:r>
      <w:r>
        <w:rPr>
          <w:b/>
          <w:i/>
        </w:rPr>
        <w:t xml:space="preserve"> </w:t>
      </w:r>
      <w:r w:rsidRPr="00487426">
        <w:rPr>
          <w:i/>
        </w:rPr>
        <w:t xml:space="preserve">Consult the SME assessment rubric to ensure </w:t>
      </w:r>
      <w:r w:rsidR="00B40E60" w:rsidRPr="00487426">
        <w:rPr>
          <w:i/>
        </w:rPr>
        <w:t xml:space="preserve">you provide sufficient detail in describing </w:t>
      </w:r>
      <w:r w:rsidRPr="00487426">
        <w:rPr>
          <w:i/>
        </w:rPr>
        <w:t xml:space="preserve">learning activities and assessments </w:t>
      </w:r>
      <w:r w:rsidR="00B40E60" w:rsidRPr="00487426">
        <w:rPr>
          <w:i/>
        </w:rPr>
        <w:t>to showcase the strengths of your course.</w:t>
      </w:r>
    </w:p>
    <w:p w:rsidR="001D4B01" w:rsidRDefault="001D4B01" w:rsidP="00487426">
      <w:pPr>
        <w:ind w:left="0" w:firstLine="0"/>
      </w:pPr>
    </w:p>
    <w:p w:rsidR="00487426" w:rsidRPr="00487426" w:rsidRDefault="00487426" w:rsidP="00487426">
      <w:pPr>
        <w:ind w:left="0" w:firstLine="0"/>
        <w:rPr>
          <w:b/>
        </w:rPr>
      </w:pPr>
      <w:r w:rsidRPr="00487426">
        <w:rPr>
          <w:b/>
        </w:rPr>
        <w:t xml:space="preserve">Course </w:t>
      </w:r>
      <w:proofErr w:type="spellStart"/>
      <w:r w:rsidRPr="00487426">
        <w:rPr>
          <w:b/>
        </w:rPr>
        <w:t>Title</w:t>
      </w:r>
      <w:proofErr w:type="gramStart"/>
      <w:r w:rsidRPr="00487426">
        <w:rPr>
          <w:b/>
        </w:rPr>
        <w:t>:_</w:t>
      </w:r>
      <w:proofErr w:type="gramEnd"/>
      <w:r w:rsidRPr="00487426">
        <w:rPr>
          <w:b/>
        </w:rPr>
        <w:t>___</w:t>
      </w:r>
      <w:r w:rsidR="00DD17BC">
        <w:rPr>
          <w:b/>
          <w:u w:val="single"/>
        </w:rPr>
        <w:t>CPT</w:t>
      </w:r>
      <w:proofErr w:type="spellEnd"/>
      <w:r w:rsidR="00DD17BC">
        <w:rPr>
          <w:b/>
          <w:u w:val="single"/>
        </w:rPr>
        <w:t xml:space="preserve"> </w:t>
      </w:r>
      <w:r w:rsidR="0080056E">
        <w:rPr>
          <w:b/>
          <w:u w:val="single"/>
        </w:rPr>
        <w:t xml:space="preserve">Maintenance </w:t>
      </w:r>
      <w:r w:rsidR="00861EA3" w:rsidRPr="00861EA3">
        <w:rPr>
          <w:b/>
          <w:u w:val="single"/>
        </w:rPr>
        <w:t xml:space="preserve"> </w:t>
      </w:r>
      <w:r w:rsidRPr="00487426">
        <w:rPr>
          <w:b/>
        </w:rPr>
        <w:t>__________________________________________________________</w:t>
      </w:r>
    </w:p>
    <w:p w:rsidR="00487426" w:rsidRDefault="00487426"/>
    <w:tbl>
      <w:tblPr>
        <w:tblStyle w:val="TableGrid"/>
        <w:tblW w:w="0" w:type="auto"/>
        <w:tblLook w:val="04A0" w:firstRow="1" w:lastRow="0" w:firstColumn="1" w:lastColumn="0" w:noHBand="0" w:noVBand="1"/>
      </w:tblPr>
      <w:tblGrid>
        <w:gridCol w:w="3294"/>
        <w:gridCol w:w="3294"/>
        <w:gridCol w:w="3294"/>
        <w:gridCol w:w="3294"/>
      </w:tblGrid>
      <w:tr w:rsidR="001D4B01" w:rsidRPr="00CB7FE1" w:rsidTr="001D4B01">
        <w:tc>
          <w:tcPr>
            <w:tcW w:w="3294" w:type="dxa"/>
          </w:tcPr>
          <w:p w:rsidR="001D4B01" w:rsidRPr="00CB7FE1" w:rsidRDefault="001D4B01" w:rsidP="00AF0C3E">
            <w:pPr>
              <w:ind w:left="0" w:firstLine="0"/>
              <w:jc w:val="center"/>
              <w:rPr>
                <w:b/>
                <w:caps/>
                <w:sz w:val="22"/>
                <w:szCs w:val="22"/>
              </w:rPr>
            </w:pPr>
            <w:r w:rsidRPr="00CB7FE1">
              <w:rPr>
                <w:b/>
                <w:caps/>
                <w:sz w:val="22"/>
                <w:szCs w:val="22"/>
              </w:rPr>
              <w:t>Course Objective</w:t>
            </w:r>
          </w:p>
        </w:tc>
        <w:tc>
          <w:tcPr>
            <w:tcW w:w="3294" w:type="dxa"/>
          </w:tcPr>
          <w:p w:rsidR="001D4B01" w:rsidRPr="00CB7FE1" w:rsidRDefault="001D4B01" w:rsidP="00AF0C3E">
            <w:pPr>
              <w:ind w:left="0" w:firstLine="0"/>
              <w:jc w:val="center"/>
              <w:rPr>
                <w:b/>
                <w:caps/>
                <w:sz w:val="22"/>
                <w:szCs w:val="22"/>
              </w:rPr>
            </w:pPr>
            <w:r w:rsidRPr="00CB7FE1">
              <w:rPr>
                <w:b/>
                <w:caps/>
                <w:sz w:val="22"/>
                <w:szCs w:val="22"/>
              </w:rPr>
              <w:t>Module-/Unit-Level Objective</w:t>
            </w:r>
          </w:p>
        </w:tc>
        <w:tc>
          <w:tcPr>
            <w:tcW w:w="3294" w:type="dxa"/>
          </w:tcPr>
          <w:p w:rsidR="001D4B01" w:rsidRPr="00CB7FE1" w:rsidRDefault="006E76E5" w:rsidP="00AF0C3E">
            <w:pPr>
              <w:ind w:left="0" w:firstLine="0"/>
              <w:jc w:val="center"/>
              <w:rPr>
                <w:b/>
                <w:caps/>
                <w:sz w:val="22"/>
                <w:szCs w:val="22"/>
              </w:rPr>
            </w:pPr>
            <w:r w:rsidRPr="00CB7FE1">
              <w:rPr>
                <w:b/>
                <w:caps/>
                <w:sz w:val="22"/>
                <w:szCs w:val="22"/>
              </w:rPr>
              <w:t xml:space="preserve">LEARNING </w:t>
            </w:r>
            <w:r w:rsidR="001D4B01" w:rsidRPr="00CB7FE1">
              <w:rPr>
                <w:b/>
                <w:caps/>
                <w:sz w:val="22"/>
                <w:szCs w:val="22"/>
              </w:rPr>
              <w:t>Activities</w:t>
            </w:r>
          </w:p>
        </w:tc>
        <w:tc>
          <w:tcPr>
            <w:tcW w:w="3294" w:type="dxa"/>
          </w:tcPr>
          <w:p w:rsidR="001D4B01" w:rsidRPr="00CB7FE1" w:rsidRDefault="001D4B01" w:rsidP="00AF0C3E">
            <w:pPr>
              <w:ind w:left="0" w:firstLine="0"/>
              <w:jc w:val="center"/>
              <w:rPr>
                <w:b/>
                <w:caps/>
                <w:sz w:val="22"/>
                <w:szCs w:val="22"/>
              </w:rPr>
            </w:pPr>
            <w:r w:rsidRPr="00CB7FE1">
              <w:rPr>
                <w:b/>
                <w:caps/>
                <w:sz w:val="22"/>
                <w:szCs w:val="22"/>
              </w:rPr>
              <w:t>Assessments</w:t>
            </w:r>
          </w:p>
        </w:tc>
      </w:tr>
      <w:tr w:rsidR="001D4B01" w:rsidRPr="00CB7FE1" w:rsidTr="001D4B01">
        <w:tc>
          <w:tcPr>
            <w:tcW w:w="3294" w:type="dxa"/>
          </w:tcPr>
          <w:p w:rsidR="001D4B01" w:rsidRPr="00CB7FE1" w:rsidRDefault="0080056E" w:rsidP="001D4B01">
            <w:pPr>
              <w:ind w:left="0" w:firstLine="0"/>
              <w:rPr>
                <w:sz w:val="20"/>
                <w:szCs w:val="20"/>
              </w:rPr>
            </w:pPr>
            <w:r>
              <w:rPr>
                <w:sz w:val="20"/>
                <w:szCs w:val="20"/>
              </w:rPr>
              <w:t>Maintenance Awareness</w:t>
            </w:r>
          </w:p>
        </w:tc>
        <w:tc>
          <w:tcPr>
            <w:tcW w:w="3294" w:type="dxa"/>
          </w:tcPr>
          <w:p w:rsidR="001D4B01" w:rsidRPr="00CB7FE1" w:rsidRDefault="00B62071" w:rsidP="00B62071">
            <w:pPr>
              <w:ind w:left="0" w:firstLine="0"/>
              <w:rPr>
                <w:sz w:val="20"/>
                <w:szCs w:val="20"/>
              </w:rPr>
            </w:pPr>
            <w:r>
              <w:rPr>
                <w:sz w:val="20"/>
                <w:szCs w:val="20"/>
              </w:rPr>
              <w:t>Perform preventative</w:t>
            </w:r>
            <w:r w:rsidR="0080056E">
              <w:rPr>
                <w:sz w:val="20"/>
                <w:szCs w:val="20"/>
              </w:rPr>
              <w:t xml:space="preserve"> maintenance and routine repair </w:t>
            </w:r>
          </w:p>
        </w:tc>
        <w:tc>
          <w:tcPr>
            <w:tcW w:w="3294" w:type="dxa"/>
          </w:tcPr>
          <w:p w:rsidR="001D4B01" w:rsidRPr="00CB7FE1" w:rsidRDefault="00CB7FE1" w:rsidP="00AF0C3E">
            <w:pPr>
              <w:ind w:left="0" w:firstLine="0"/>
              <w:rPr>
                <w:sz w:val="20"/>
                <w:szCs w:val="20"/>
              </w:rPr>
            </w:pPr>
            <w:r>
              <w:rPr>
                <w:sz w:val="20"/>
                <w:szCs w:val="20"/>
              </w:rPr>
              <w:t>MSSC online training modules</w:t>
            </w:r>
          </w:p>
        </w:tc>
        <w:tc>
          <w:tcPr>
            <w:tcW w:w="3294" w:type="dxa"/>
          </w:tcPr>
          <w:p w:rsidR="001D4B01" w:rsidRPr="00CB7FE1" w:rsidRDefault="00CB7FE1" w:rsidP="001D4B01">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Monitor indicators to ensure correct operations</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Perform all housekeeping- to maintain production schedule</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 xml:space="preserve">Recognize potential maintenance issues with basic production systems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Knowledge when to inform maintenance personnel about problems such as the following:</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16E3F">
            <w:pPr>
              <w:ind w:left="0" w:firstLine="0"/>
              <w:rPr>
                <w:sz w:val="20"/>
                <w:szCs w:val="20"/>
              </w:rPr>
            </w:pPr>
            <w:r>
              <w:rPr>
                <w:sz w:val="20"/>
                <w:szCs w:val="20"/>
              </w:rPr>
              <w:t xml:space="preserve">Problems with Electrical Systems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Problems with Pneumatic Systems</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80056E">
            <w:pPr>
              <w:ind w:left="0" w:firstLine="0"/>
              <w:rPr>
                <w:sz w:val="20"/>
                <w:szCs w:val="20"/>
              </w:rPr>
            </w:pPr>
            <w:r>
              <w:rPr>
                <w:sz w:val="20"/>
                <w:szCs w:val="20"/>
              </w:rPr>
              <w:t xml:space="preserve">Problems with Hydraulic Systems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 xml:space="preserve">Problems with Machine Automation Systems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Problems with Lubrication Process</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 xml:space="preserve">Problems with Bearings and Couplings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B62071" w:rsidRPr="00CB7FE1" w:rsidTr="001D4B01">
        <w:tc>
          <w:tcPr>
            <w:tcW w:w="3294" w:type="dxa"/>
          </w:tcPr>
          <w:p w:rsidR="00B62071" w:rsidRPr="00CB7FE1" w:rsidRDefault="00B62071" w:rsidP="001D4B01">
            <w:pPr>
              <w:ind w:left="0" w:firstLine="0"/>
              <w:rPr>
                <w:sz w:val="20"/>
                <w:szCs w:val="20"/>
              </w:rPr>
            </w:pPr>
          </w:p>
        </w:tc>
        <w:tc>
          <w:tcPr>
            <w:tcW w:w="3294" w:type="dxa"/>
          </w:tcPr>
          <w:p w:rsidR="00B62071" w:rsidRPr="00CB7FE1" w:rsidRDefault="00B62071" w:rsidP="001D4B01">
            <w:pPr>
              <w:ind w:left="0" w:firstLine="0"/>
              <w:rPr>
                <w:sz w:val="20"/>
                <w:szCs w:val="20"/>
              </w:rPr>
            </w:pPr>
            <w:r>
              <w:rPr>
                <w:sz w:val="20"/>
                <w:szCs w:val="20"/>
              </w:rPr>
              <w:t xml:space="preserve">Problems with Belts and Chain Drives </w:t>
            </w:r>
          </w:p>
        </w:tc>
        <w:tc>
          <w:tcPr>
            <w:tcW w:w="3294" w:type="dxa"/>
          </w:tcPr>
          <w:p w:rsidR="00B62071" w:rsidRDefault="00B62071" w:rsidP="00B62071">
            <w:pPr>
              <w:ind w:hanging="1512"/>
              <w:jc w:val="both"/>
            </w:pPr>
            <w:r w:rsidRPr="00C837B0">
              <w:rPr>
                <w:sz w:val="20"/>
                <w:szCs w:val="20"/>
              </w:rPr>
              <w:t>MSSC online training modules</w:t>
            </w:r>
          </w:p>
        </w:tc>
        <w:tc>
          <w:tcPr>
            <w:tcW w:w="3294" w:type="dxa"/>
          </w:tcPr>
          <w:p w:rsidR="00B62071" w:rsidRPr="00CB7FE1" w:rsidRDefault="00B62071" w:rsidP="00B04D2B">
            <w:pPr>
              <w:ind w:left="0" w:firstLine="0"/>
              <w:rPr>
                <w:sz w:val="20"/>
                <w:szCs w:val="20"/>
              </w:rPr>
            </w:pPr>
            <w:r>
              <w:rPr>
                <w:sz w:val="20"/>
                <w:szCs w:val="20"/>
              </w:rPr>
              <w:t>Pre &amp; post test</w:t>
            </w: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B62071" w:rsidRDefault="00CB7FE1" w:rsidP="001D4B01">
            <w:pPr>
              <w:ind w:left="0" w:firstLine="0"/>
              <w:rPr>
                <w:b/>
                <w:sz w:val="20"/>
                <w:szCs w:val="20"/>
              </w:rPr>
            </w:pPr>
            <w:r w:rsidRPr="00B62071">
              <w:rPr>
                <w:b/>
                <w:sz w:val="20"/>
                <w:szCs w:val="20"/>
              </w:rPr>
              <w:t>Upon completion of all the training modules, students take certification exam.</w:t>
            </w:r>
          </w:p>
        </w:tc>
      </w:tr>
    </w:tbl>
    <w:p w:rsidR="00F10162" w:rsidRDefault="00F10162" w:rsidP="00B62071">
      <w:pPr>
        <w:ind w:left="0" w:firstLine="0"/>
        <w:rPr>
          <w:i/>
          <w:iCs/>
          <w:color w:val="1F497D"/>
          <w:sz w:val="16"/>
          <w:szCs w:val="12"/>
        </w:rPr>
      </w:pPr>
    </w:p>
    <w:p w:rsidR="001D4B01" w:rsidRDefault="00F10162" w:rsidP="00B62071">
      <w:pPr>
        <w:ind w:left="0" w:firstLine="0"/>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1D4B01" w:rsidSect="00F10162">
      <w:headerReference w:type="even" r:id="rId6"/>
      <w:headerReference w:type="default" r:id="rId7"/>
      <w:footerReference w:type="even" r:id="rId8"/>
      <w:footerReference w:type="default" r:id="rId9"/>
      <w:headerReference w:type="first" r:id="rId10"/>
      <w:footerReference w:type="first" r:id="rId11"/>
      <w:pgSz w:w="15840" w:h="12240" w:orient="landscape"/>
      <w:pgMar w:top="435"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6B" w:rsidRDefault="008A636B" w:rsidP="00D62395">
      <w:r>
        <w:separator/>
      </w:r>
    </w:p>
  </w:endnote>
  <w:endnote w:type="continuationSeparator" w:id="0">
    <w:p w:rsidR="008A636B" w:rsidRDefault="008A636B" w:rsidP="00D6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2" w:rsidRDefault="00F10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95" w:rsidRPr="00EE0650" w:rsidRDefault="00F10162" w:rsidP="00D62395">
    <w:pPr>
      <w:pStyle w:val="Footer"/>
      <w:jc w:val="center"/>
      <w:rPr>
        <w:rFonts w:ascii="Arial" w:hAnsi="Arial" w:cs="Arial"/>
        <w:sz w:val="16"/>
      </w:rPr>
    </w:pPr>
    <w:r>
      <w:rPr>
        <w:rFonts w:ascii="Helvetica" w:hAnsi="Helvetica" w:cs="Helvetica"/>
        <w:noProof/>
        <w:color w:val="4374B7"/>
      </w:rPr>
      <w:drawing>
        <wp:anchor distT="0" distB="0" distL="114300" distR="114300" simplePos="0" relativeHeight="251658752" behindDoc="1" locked="0" layoutInCell="1" allowOverlap="1" wp14:anchorId="136EE3F0" wp14:editId="202B1C92">
          <wp:simplePos x="0" y="0"/>
          <wp:positionH relativeFrom="column">
            <wp:posOffset>209550</wp:posOffset>
          </wp:positionH>
          <wp:positionV relativeFrom="paragraph">
            <wp:posOffset>-1905</wp:posOffset>
          </wp:positionV>
          <wp:extent cx="841375" cy="292735"/>
          <wp:effectExtent l="0" t="0" r="0" b="0"/>
          <wp:wrapTight wrapText="bothSides">
            <wp:wrapPolygon edited="0">
              <wp:start x="0" y="0"/>
              <wp:lineTo x="0" y="19679"/>
              <wp:lineTo x="21029" y="19679"/>
              <wp:lineTo x="21029" y="0"/>
              <wp:lineTo x="0" y="0"/>
            </wp:wrapPolygon>
          </wp:wrapTight>
          <wp:docPr id="28" name="Picture 28"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395" w:rsidRPr="00CA1141">
      <w:rPr>
        <w:rFonts w:ascii="Arial" w:hAnsi="Arial" w:cs="Arial"/>
        <w:sz w:val="16"/>
      </w:rPr>
      <w:t>This work is licensed under the Creative Commons Attribution 4.0 International License. To view a copy of this license, visit http://creativecommons.org/licenses/by/4.0/.</w:t>
    </w:r>
  </w:p>
  <w:p w:rsidR="00D62395" w:rsidRDefault="00D62395">
    <w:pPr>
      <w:pStyle w:val="Footer"/>
    </w:pPr>
  </w:p>
  <w:p w:rsidR="00D62395" w:rsidRDefault="00D6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2" w:rsidRDefault="00F1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6B" w:rsidRDefault="008A636B" w:rsidP="00D62395">
      <w:r>
        <w:separator/>
      </w:r>
    </w:p>
  </w:footnote>
  <w:footnote w:type="continuationSeparator" w:id="0">
    <w:p w:rsidR="008A636B" w:rsidRDefault="008A636B" w:rsidP="00D6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2" w:rsidRDefault="00F1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95" w:rsidRDefault="008E5159">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-193675</wp:posOffset>
              </wp:positionV>
              <wp:extent cx="4396105" cy="81915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95" w:rsidRPr="00D62395" w:rsidRDefault="00D62395" w:rsidP="00D62395">
                          <w:pPr>
                            <w:ind w:left="0" w:firstLine="0"/>
                            <w:jc w:val="center"/>
                            <w:rPr>
                              <w:rFonts w:ascii="Arial" w:hAnsi="Arial" w:cs="Arial"/>
                              <w:sz w:val="22"/>
                            </w:rPr>
                          </w:pPr>
                          <w:r w:rsidRPr="00D62395">
                            <w:rPr>
                              <w:rFonts w:ascii="Arial" w:hAnsi="Arial" w:cs="Arial"/>
                              <w:sz w:val="22"/>
                            </w:rPr>
                            <w:t>MoManufacturingWINs</w:t>
                          </w:r>
                          <w:r w:rsidRPr="00D62395">
                            <w:rPr>
                              <w:rFonts w:ascii="Arial" w:hAnsi="Arial" w:cs="Arial"/>
                              <w:sz w:val="22"/>
                            </w:rPr>
                            <w:br/>
                            <w:t>Overview Table of Course Components: Course Objectives, Module/Unit Objectives, Activities and Assessments</w:t>
                          </w:r>
                          <w:r>
                            <w:rPr>
                              <w:rFonts w:ascii="Arial" w:hAnsi="Arial" w:cs="Arial"/>
                              <w:sz w:val="22"/>
                            </w:rPr>
                            <w:br/>
                          </w:r>
                          <w:r w:rsidR="00CB7FE1">
                            <w:rPr>
                              <w:rFonts w:ascii="Arial" w:hAnsi="Arial" w:cs="Arial"/>
                              <w:sz w:val="22"/>
                            </w:rPr>
                            <w:t>IENG</w:t>
                          </w:r>
                          <w:r w:rsidR="0080056E">
                            <w:rPr>
                              <w:rFonts w:ascii="Arial" w:hAnsi="Arial" w:cs="Arial"/>
                              <w:sz w:val="22"/>
                            </w:rPr>
                            <w:t>711</w:t>
                          </w:r>
                        </w:p>
                        <w:p w:rsidR="00D62395" w:rsidRDefault="00D62395" w:rsidP="00D62395">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25pt;width:346.15pt;height:6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" stroked="f">
              <v:textbox>
                <w:txbxContent>
                  <w:p w:rsidR="00D62395" w:rsidRPr="00D62395" w:rsidRDefault="00D62395" w:rsidP="00D62395">
                    <w:pPr>
                      <w:ind w:left="0" w:firstLine="0"/>
                      <w:jc w:val="center"/>
                      <w:rPr>
                        <w:rFonts w:ascii="Arial" w:hAnsi="Arial" w:cs="Arial"/>
                        <w:sz w:val="22"/>
                      </w:rPr>
                    </w:pPr>
                    <w:r w:rsidRPr="00D62395">
                      <w:rPr>
                        <w:rFonts w:ascii="Arial" w:hAnsi="Arial" w:cs="Arial"/>
                        <w:sz w:val="22"/>
                      </w:rPr>
                      <w:t>MoManufacturingWINs</w:t>
                    </w:r>
                    <w:r w:rsidRPr="00D62395">
                      <w:rPr>
                        <w:rFonts w:ascii="Arial" w:hAnsi="Arial" w:cs="Arial"/>
                        <w:sz w:val="22"/>
                      </w:rPr>
                      <w:br/>
                      <w:t>Overview Table of Course Components: Course Objectives, Module/Unit Objectives, Activities and Assessments</w:t>
                    </w:r>
                    <w:r>
                      <w:rPr>
                        <w:rFonts w:ascii="Arial" w:hAnsi="Arial" w:cs="Arial"/>
                        <w:sz w:val="22"/>
                      </w:rPr>
                      <w:br/>
                    </w:r>
                    <w:r w:rsidR="00CB7FE1">
                      <w:rPr>
                        <w:rFonts w:ascii="Arial" w:hAnsi="Arial" w:cs="Arial"/>
                        <w:sz w:val="22"/>
                      </w:rPr>
                      <w:t>IENG</w:t>
                    </w:r>
                    <w:r w:rsidR="0080056E">
                      <w:rPr>
                        <w:rFonts w:ascii="Arial" w:hAnsi="Arial" w:cs="Arial"/>
                        <w:sz w:val="22"/>
                      </w:rPr>
                      <w:t>711</w:t>
                    </w:r>
                  </w:p>
                  <w:p w:rsidR="00D62395" w:rsidRDefault="00D62395" w:rsidP="00D62395">
                    <w:pPr>
                      <w:ind w:left="0"/>
                      <w:jc w:val="center"/>
                    </w:pPr>
                  </w:p>
                </w:txbxContent>
              </v:textbox>
              <w10:wrap anchorx="margin"/>
            </v:shape>
          </w:pict>
        </mc:Fallback>
      </mc:AlternateContent>
    </w:r>
    <w:r w:rsidR="00D62395">
      <w:rPr>
        <w:noProof/>
      </w:rPr>
      <w:drawing>
        <wp:inline distT="0" distB="0" distL="0" distR="0" wp14:anchorId="00D0FB87" wp14:editId="6C4E1BA5">
          <wp:extent cx="1135856" cy="60579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822" cy="607372"/>
                  </a:xfrm>
                  <a:prstGeom prst="rect">
                    <a:avLst/>
                  </a:prstGeom>
                </pic:spPr>
              </pic:pic>
            </a:graphicData>
          </a:graphic>
        </wp:inline>
      </w:drawing>
    </w:r>
    <w:r w:rsidR="00D62395">
      <w:tab/>
    </w:r>
    <w:r w:rsidR="00D62395">
      <w:tab/>
    </w:r>
    <w:r w:rsidR="00D62395">
      <w:tab/>
    </w:r>
    <w:r w:rsidR="00D62395">
      <w:tab/>
    </w:r>
    <w:r w:rsidR="00D62395">
      <w:tab/>
    </w:r>
    <w:r w:rsidR="00D62395">
      <w:rPr>
        <w:noProof/>
      </w:rPr>
      <w:drawing>
        <wp:inline distT="0" distB="0" distL="0" distR="0" wp14:anchorId="0B876C3A" wp14:editId="654F9F7F">
          <wp:extent cx="1036894" cy="5998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1045854" cy="605078"/>
                  </a:xfrm>
                  <a:prstGeom prst="rect">
                    <a:avLst/>
                  </a:prstGeom>
                </pic:spPr>
              </pic:pic>
            </a:graphicData>
          </a:graphic>
        </wp:inline>
      </w:drawing>
    </w:r>
    <w:bookmarkStart w:id="0" w:name="_GoBack"/>
    <w:bookmarkEnd w:id="0"/>
  </w:p>
  <w:p w:rsidR="00D62395" w:rsidRDefault="00D62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2" w:rsidRDefault="00F10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1"/>
    <w:rsid w:val="00116E3F"/>
    <w:rsid w:val="001D4B01"/>
    <w:rsid w:val="001E4E1B"/>
    <w:rsid w:val="002D3928"/>
    <w:rsid w:val="00474BDA"/>
    <w:rsid w:val="00487426"/>
    <w:rsid w:val="00496A73"/>
    <w:rsid w:val="00595FC1"/>
    <w:rsid w:val="00664D80"/>
    <w:rsid w:val="006E76E5"/>
    <w:rsid w:val="0075373E"/>
    <w:rsid w:val="007C3255"/>
    <w:rsid w:val="007C6D9E"/>
    <w:rsid w:val="0080056E"/>
    <w:rsid w:val="00861EA3"/>
    <w:rsid w:val="008A636B"/>
    <w:rsid w:val="008D3982"/>
    <w:rsid w:val="008E5159"/>
    <w:rsid w:val="009636D9"/>
    <w:rsid w:val="00A715B3"/>
    <w:rsid w:val="00AF0C3E"/>
    <w:rsid w:val="00B40E60"/>
    <w:rsid w:val="00B62071"/>
    <w:rsid w:val="00C3562A"/>
    <w:rsid w:val="00C96A81"/>
    <w:rsid w:val="00CB7FE1"/>
    <w:rsid w:val="00D56C25"/>
    <w:rsid w:val="00D62395"/>
    <w:rsid w:val="00DD17BC"/>
    <w:rsid w:val="00E42B97"/>
    <w:rsid w:val="00ED3FB5"/>
    <w:rsid w:val="00F036D5"/>
    <w:rsid w:val="00F10162"/>
    <w:rsid w:val="00FC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D62DB0-933E-4275-BCEF-AB1E557B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395"/>
    <w:pPr>
      <w:tabs>
        <w:tab w:val="center" w:pos="4680"/>
        <w:tab w:val="right" w:pos="9360"/>
      </w:tabs>
    </w:pPr>
  </w:style>
  <w:style w:type="character" w:customStyle="1" w:styleId="HeaderChar">
    <w:name w:val="Header Char"/>
    <w:basedOn w:val="DefaultParagraphFont"/>
    <w:link w:val="Header"/>
    <w:uiPriority w:val="99"/>
    <w:rsid w:val="00D62395"/>
  </w:style>
  <w:style w:type="paragraph" w:styleId="Footer">
    <w:name w:val="footer"/>
    <w:basedOn w:val="Normal"/>
    <w:link w:val="FooterChar"/>
    <w:uiPriority w:val="99"/>
    <w:unhideWhenUsed/>
    <w:rsid w:val="00D62395"/>
    <w:pPr>
      <w:tabs>
        <w:tab w:val="center" w:pos="4680"/>
        <w:tab w:val="right" w:pos="9360"/>
      </w:tabs>
    </w:pPr>
  </w:style>
  <w:style w:type="character" w:customStyle="1" w:styleId="FooterChar">
    <w:name w:val="Footer Char"/>
    <w:basedOn w:val="DefaultParagraphFont"/>
    <w:link w:val="Footer"/>
    <w:uiPriority w:val="99"/>
    <w:rsid w:val="00D62395"/>
  </w:style>
  <w:style w:type="paragraph" w:styleId="BalloonText">
    <w:name w:val="Balloon Text"/>
    <w:basedOn w:val="Normal"/>
    <w:link w:val="BalloonTextChar"/>
    <w:uiPriority w:val="99"/>
    <w:semiHidden/>
    <w:unhideWhenUsed/>
    <w:rsid w:val="00D62395"/>
    <w:rPr>
      <w:rFonts w:ascii="Tahoma" w:hAnsi="Tahoma" w:cs="Tahoma"/>
      <w:sz w:val="16"/>
      <w:szCs w:val="16"/>
    </w:rPr>
  </w:style>
  <w:style w:type="character" w:customStyle="1" w:styleId="BalloonTextChar">
    <w:name w:val="Balloon Text Char"/>
    <w:basedOn w:val="DefaultParagraphFont"/>
    <w:link w:val="BalloonText"/>
    <w:uiPriority w:val="99"/>
    <w:semiHidden/>
    <w:rsid w:val="00D6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3</cp:revision>
  <cp:lastPrinted>2014-12-01T17:07:00Z</cp:lastPrinted>
  <dcterms:created xsi:type="dcterms:W3CDTF">2015-03-23T16:28:00Z</dcterms:created>
  <dcterms:modified xsi:type="dcterms:W3CDTF">2016-03-10T20:15:00Z</dcterms:modified>
</cp:coreProperties>
</file>