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
        <w:gridCol w:w="2055"/>
        <w:gridCol w:w="7260"/>
      </w:tblGrid>
      <w:tr w:rsidR="00AA68D1" w:rsidRPr="00AA68D1" w:rsidTr="00AA68D1">
        <w:trPr>
          <w:tblCellSpacing w:w="15" w:type="dxa"/>
        </w:trPr>
        <w:tc>
          <w:tcPr>
            <w:tcW w:w="75" w:type="dxa"/>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sz w:val="24"/>
                <w:szCs w:val="24"/>
              </w:rPr>
              <w:t> </w:t>
            </w:r>
          </w:p>
        </w:tc>
        <w:tc>
          <w:tcPr>
            <w:tcW w:w="2025" w:type="dxa"/>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b/>
                <w:bCs/>
                <w:sz w:val="24"/>
                <w:szCs w:val="24"/>
              </w:rPr>
              <w:t>Course:</w:t>
            </w: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b/>
                <w:bCs/>
                <w:sz w:val="24"/>
                <w:szCs w:val="24"/>
              </w:rPr>
              <w:t xml:space="preserve">WEL 224 </w:t>
            </w:r>
          </w:p>
        </w:tc>
      </w:tr>
      <w:tr w:rsidR="00AA68D1" w:rsidRPr="00AA68D1" w:rsidTr="00AA68D1">
        <w:trPr>
          <w:tblCellSpacing w:w="15" w:type="dxa"/>
        </w:trPr>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0"/>
                <w:szCs w:val="20"/>
              </w:rPr>
            </w:pP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0"/>
                <w:szCs w:val="20"/>
              </w:rPr>
            </w:pPr>
          </w:p>
        </w:tc>
      </w:tr>
      <w:tr w:rsidR="00AA68D1" w:rsidRPr="00AA68D1" w:rsidTr="00AA68D1">
        <w:trPr>
          <w:tblCellSpacing w:w="15" w:type="dxa"/>
        </w:trPr>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sz w:val="24"/>
                <w:szCs w:val="24"/>
              </w:rPr>
              <w:t> </w:t>
            </w:r>
          </w:p>
        </w:tc>
        <w:tc>
          <w:tcPr>
            <w:tcW w:w="1650" w:type="dxa"/>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b/>
                <w:bCs/>
                <w:sz w:val="24"/>
                <w:szCs w:val="24"/>
              </w:rPr>
              <w:t>Title:</w:t>
            </w: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proofErr w:type="spellStart"/>
            <w:r w:rsidRPr="00AA68D1">
              <w:rPr>
                <w:rFonts w:ascii="Times New Roman" w:eastAsia="Times New Roman" w:hAnsi="Times New Roman" w:cs="Times New Roman"/>
                <w:b/>
                <w:bCs/>
                <w:sz w:val="24"/>
                <w:szCs w:val="24"/>
              </w:rPr>
              <w:t>Adv</w:t>
            </w:r>
            <w:proofErr w:type="spellEnd"/>
            <w:r w:rsidRPr="00AA68D1">
              <w:rPr>
                <w:rFonts w:ascii="Times New Roman" w:eastAsia="Times New Roman" w:hAnsi="Times New Roman" w:cs="Times New Roman"/>
                <w:b/>
                <w:bCs/>
                <w:sz w:val="24"/>
                <w:szCs w:val="24"/>
              </w:rPr>
              <w:t xml:space="preserve"> Gas Tungsten Arc Welding </w:t>
            </w:r>
          </w:p>
        </w:tc>
      </w:tr>
      <w:tr w:rsidR="00AA68D1" w:rsidRPr="00AA68D1" w:rsidTr="00AA68D1">
        <w:trPr>
          <w:tblCellSpacing w:w="15" w:type="dxa"/>
        </w:trPr>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0"/>
                <w:szCs w:val="20"/>
              </w:rPr>
            </w:pP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0"/>
                <w:szCs w:val="20"/>
              </w:rPr>
            </w:pPr>
          </w:p>
        </w:tc>
      </w:tr>
      <w:tr w:rsidR="00AA68D1" w:rsidRPr="00AA68D1" w:rsidTr="00AA68D1">
        <w:trPr>
          <w:tblCellSpacing w:w="15" w:type="dxa"/>
        </w:trPr>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sz w:val="24"/>
                <w:szCs w:val="24"/>
              </w:rPr>
              <w:t> </w:t>
            </w:r>
          </w:p>
        </w:tc>
        <w:tc>
          <w:tcPr>
            <w:tcW w:w="1650" w:type="dxa"/>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b/>
                <w:bCs/>
                <w:sz w:val="24"/>
                <w:szCs w:val="24"/>
              </w:rPr>
              <w:t>Long Title:</w:t>
            </w: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b/>
                <w:bCs/>
                <w:sz w:val="24"/>
                <w:szCs w:val="24"/>
              </w:rPr>
              <w:t xml:space="preserve">Advanced Gas Tungsten Arc Welding </w:t>
            </w:r>
          </w:p>
        </w:tc>
      </w:tr>
      <w:tr w:rsidR="00AA68D1" w:rsidRPr="00AA68D1" w:rsidTr="00AA68D1">
        <w:trPr>
          <w:tblCellSpacing w:w="15" w:type="dxa"/>
        </w:trPr>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0"/>
                <w:szCs w:val="20"/>
              </w:rPr>
            </w:pP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0"/>
                <w:szCs w:val="20"/>
              </w:rPr>
            </w:pPr>
          </w:p>
        </w:tc>
      </w:tr>
      <w:tr w:rsidR="00AA68D1" w:rsidRPr="00AA68D1" w:rsidTr="00AA68D1">
        <w:trPr>
          <w:tblCellSpacing w:w="15" w:type="dxa"/>
        </w:trPr>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sz w:val="24"/>
                <w:szCs w:val="24"/>
              </w:rPr>
              <w:t> </w:t>
            </w:r>
          </w:p>
        </w:tc>
        <w:tc>
          <w:tcPr>
            <w:tcW w:w="1650" w:type="dxa"/>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b/>
                <w:bCs/>
                <w:sz w:val="24"/>
                <w:szCs w:val="24"/>
              </w:rPr>
              <w:t>Course Description:</w:t>
            </w: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b/>
                <w:bCs/>
                <w:sz w:val="24"/>
                <w:szCs w:val="24"/>
              </w:rPr>
              <w:t xml:space="preserve">Covers welding in all positions on carbon steel, stainless steel and aluminum plate and carbon steel pipe with the GTAW process. Student should be familiar with basic metallurgy pertaining to the </w:t>
            </w:r>
            <w:proofErr w:type="spellStart"/>
            <w:r w:rsidRPr="00AA68D1">
              <w:rPr>
                <w:rFonts w:ascii="Times New Roman" w:eastAsia="Times New Roman" w:hAnsi="Times New Roman" w:cs="Times New Roman"/>
                <w:b/>
                <w:bCs/>
                <w:sz w:val="24"/>
                <w:szCs w:val="24"/>
              </w:rPr>
              <w:t>weldability</w:t>
            </w:r>
            <w:proofErr w:type="spellEnd"/>
            <w:r w:rsidRPr="00AA68D1">
              <w:rPr>
                <w:rFonts w:ascii="Times New Roman" w:eastAsia="Times New Roman" w:hAnsi="Times New Roman" w:cs="Times New Roman"/>
                <w:b/>
                <w:bCs/>
                <w:sz w:val="24"/>
                <w:szCs w:val="24"/>
              </w:rPr>
              <w:t xml:space="preserve"> of metals, structural joints, and safety in the welding industry.</w:t>
            </w:r>
          </w:p>
        </w:tc>
      </w:tr>
      <w:tr w:rsidR="00AA68D1" w:rsidRPr="00AA68D1" w:rsidTr="00AA68D1">
        <w:trPr>
          <w:tblCellSpacing w:w="15" w:type="dxa"/>
        </w:trPr>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0"/>
                <w:szCs w:val="20"/>
              </w:rPr>
            </w:pP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0"/>
                <w:szCs w:val="20"/>
              </w:rPr>
            </w:pPr>
          </w:p>
        </w:tc>
      </w:tr>
      <w:tr w:rsidR="00AA68D1" w:rsidRPr="00AA68D1" w:rsidTr="00AA68D1">
        <w:trPr>
          <w:tblCellSpacing w:w="15" w:type="dxa"/>
        </w:trPr>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sz w:val="24"/>
                <w:szCs w:val="24"/>
              </w:rPr>
              <w:t> </w:t>
            </w:r>
          </w:p>
        </w:tc>
        <w:tc>
          <w:tcPr>
            <w:tcW w:w="1650" w:type="dxa"/>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b/>
                <w:bCs/>
                <w:sz w:val="24"/>
                <w:szCs w:val="24"/>
              </w:rPr>
              <w:t>Min Credit:</w:t>
            </w:r>
          </w:p>
        </w:tc>
        <w:tc>
          <w:tcPr>
            <w:tcW w:w="0" w:type="auto"/>
            <w:vAlign w:val="center"/>
            <w:hideMark/>
          </w:tcPr>
          <w:p w:rsidR="00AA68D1" w:rsidRPr="00AA68D1" w:rsidRDefault="00AA68D1" w:rsidP="00AA68D1">
            <w:pPr>
              <w:spacing w:after="0" w:line="240" w:lineRule="auto"/>
              <w:rPr>
                <w:rFonts w:ascii="Times New Roman" w:eastAsia="Times New Roman" w:hAnsi="Times New Roman" w:cs="Times New Roman"/>
                <w:sz w:val="24"/>
                <w:szCs w:val="24"/>
              </w:rPr>
            </w:pPr>
            <w:r w:rsidRPr="00AA68D1">
              <w:rPr>
                <w:rFonts w:ascii="Times New Roman" w:eastAsia="Times New Roman" w:hAnsi="Times New Roman" w:cs="Times New Roman"/>
                <w:b/>
                <w:bCs/>
                <w:sz w:val="24"/>
                <w:szCs w:val="24"/>
              </w:rPr>
              <w:t>4</w:t>
            </w:r>
          </w:p>
        </w:tc>
      </w:tr>
    </w:tbl>
    <w:p w:rsidR="00F10FF1" w:rsidRDefault="00F10FF1"/>
    <w:p w:rsidR="00AA68D1" w:rsidRDefault="00AA68D1"/>
    <w:p w:rsidR="00AA68D1" w:rsidRPr="00AA68D1" w:rsidRDefault="00AA68D1" w:rsidP="00AA68D1">
      <w:p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 STANDARD COMPETENCIES: </w:t>
      </w:r>
    </w:p>
    <w:p w:rsidR="00AA68D1" w:rsidRPr="00AA68D1" w:rsidRDefault="00AA68D1" w:rsidP="00AA68D1">
      <w:p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Follow shop safety practices.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Maintain a clean and safe work area.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Follow guidelines prescribed in course progress chart.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Perform safety inspections on GTAW equipment.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Prepare carbon steel, stainless steel and aluminum plate.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Prepare carbon steel pipe.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Identification of proper filler rod and diameter.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Set up arc welding equipment.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Select proper current, polarity and amperage.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Perform welds on tee, lap, corner and butt-joints in the flat, horizontal, vertical and overhead positions on carbon steel.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Perform welds on tee, lap, corner and butt-joints in the flat, horizontal, ver</w:t>
      </w:r>
      <w:r>
        <w:rPr>
          <w:rFonts w:ascii="Times New Roman" w:eastAsia="Times New Roman" w:hAnsi="Times New Roman" w:cs="Times New Roman"/>
          <w:bCs/>
          <w:sz w:val="24"/>
          <w:szCs w:val="24"/>
        </w:rPr>
        <w:t>tical and overhead positions on</w:t>
      </w:r>
      <w:r w:rsidRPr="00AA68D1">
        <w:rPr>
          <w:rFonts w:ascii="Times New Roman" w:eastAsia="Times New Roman" w:hAnsi="Times New Roman" w:cs="Times New Roman"/>
          <w:bCs/>
          <w:sz w:val="24"/>
          <w:szCs w:val="24"/>
        </w:rPr>
        <w:t xml:space="preserve"> stainless steel.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Perform welds on tee, lap, corner and butt-joints in the flat horizontal, vert</w:t>
      </w:r>
      <w:r>
        <w:rPr>
          <w:rFonts w:ascii="Times New Roman" w:eastAsia="Times New Roman" w:hAnsi="Times New Roman" w:cs="Times New Roman"/>
          <w:bCs/>
          <w:sz w:val="24"/>
          <w:szCs w:val="24"/>
        </w:rPr>
        <w:t>ical and overhead positions on </w:t>
      </w:r>
      <w:r w:rsidRPr="00AA68D1">
        <w:rPr>
          <w:rFonts w:ascii="Times New Roman" w:eastAsia="Times New Roman" w:hAnsi="Times New Roman" w:cs="Times New Roman"/>
          <w:bCs/>
          <w:sz w:val="24"/>
          <w:szCs w:val="24"/>
        </w:rPr>
        <w:t xml:space="preserve">aluminum.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Perform welds on carbon steel pipe in the 1G, 2G, 5G up, 5G </w:t>
      </w:r>
      <w:proofErr w:type="spellStart"/>
      <w:proofErr w:type="gramStart"/>
      <w:r w:rsidRPr="00AA68D1">
        <w:rPr>
          <w:rFonts w:ascii="Times New Roman" w:eastAsia="Times New Roman" w:hAnsi="Times New Roman" w:cs="Times New Roman"/>
          <w:bCs/>
          <w:sz w:val="24"/>
          <w:szCs w:val="24"/>
        </w:rPr>
        <w:t>dn</w:t>
      </w:r>
      <w:proofErr w:type="spellEnd"/>
      <w:proofErr w:type="gramEnd"/>
      <w:r w:rsidRPr="00AA68D1">
        <w:rPr>
          <w:rFonts w:ascii="Times New Roman" w:eastAsia="Times New Roman" w:hAnsi="Times New Roman" w:cs="Times New Roman"/>
          <w:bCs/>
          <w:sz w:val="24"/>
          <w:szCs w:val="24"/>
        </w:rPr>
        <w:t xml:space="preserve"> and 6G positions.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Identify surface discontinuities and suggest corrective measures.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Perform mi</w:t>
      </w:r>
      <w:r>
        <w:rPr>
          <w:rFonts w:ascii="Times New Roman" w:eastAsia="Times New Roman" w:hAnsi="Times New Roman" w:cs="Times New Roman"/>
          <w:bCs/>
          <w:sz w:val="24"/>
          <w:szCs w:val="24"/>
        </w:rPr>
        <w:t>nor troubleshooting on cutting </w:t>
      </w:r>
      <w:r w:rsidRPr="00AA68D1">
        <w:rPr>
          <w:rFonts w:ascii="Times New Roman" w:eastAsia="Times New Roman" w:hAnsi="Times New Roman" w:cs="Times New Roman"/>
          <w:bCs/>
          <w:sz w:val="24"/>
          <w:szCs w:val="24"/>
        </w:rPr>
        <w:t xml:space="preserve">equipment.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Interpret weld symbols. </w:t>
      </w:r>
    </w:p>
    <w:p w:rsidR="00AA68D1" w:rsidRPr="00AA68D1" w:rsidRDefault="00AA68D1" w:rsidP="00AA68D1">
      <w:pPr>
        <w:pStyle w:val="ListParagraph"/>
        <w:numPr>
          <w:ilvl w:val="0"/>
          <w:numId w:val="1"/>
        </w:numPr>
        <w:spacing w:after="0" w:line="240" w:lineRule="auto"/>
        <w:rPr>
          <w:rFonts w:ascii="Times New Roman" w:eastAsia="Times New Roman" w:hAnsi="Times New Roman" w:cs="Times New Roman"/>
          <w:bCs/>
          <w:sz w:val="24"/>
          <w:szCs w:val="24"/>
        </w:rPr>
      </w:pPr>
      <w:r w:rsidRPr="00AA68D1">
        <w:rPr>
          <w:rFonts w:ascii="Times New Roman" w:eastAsia="Times New Roman" w:hAnsi="Times New Roman" w:cs="Times New Roman"/>
          <w:bCs/>
          <w:sz w:val="24"/>
          <w:szCs w:val="24"/>
        </w:rPr>
        <w:t xml:space="preserve">Do assigned course book work. </w:t>
      </w:r>
    </w:p>
    <w:p w:rsidR="00AA68D1" w:rsidRDefault="00AA68D1"/>
    <w:p w:rsidR="006D3D78" w:rsidRPr="006D3D78" w:rsidRDefault="006D3D78" w:rsidP="006D3D78">
      <w:pPr>
        <w:spacing w:after="0" w:line="240" w:lineRule="auto"/>
        <w:rPr>
          <w:rFonts w:ascii="Times New Roman" w:eastAsia="Times New Roman" w:hAnsi="Times New Roman" w:cs="Times New Roman"/>
          <w:bCs/>
          <w:sz w:val="24"/>
          <w:szCs w:val="24"/>
        </w:rPr>
      </w:pPr>
      <w:r w:rsidRPr="006D3D78">
        <w:rPr>
          <w:rFonts w:ascii="Times New Roman" w:eastAsia="Times New Roman" w:hAnsi="Times New Roman" w:cs="Times New Roman"/>
          <w:bCs/>
          <w:sz w:val="24"/>
          <w:szCs w:val="24"/>
        </w:rPr>
        <w:t xml:space="preserve"> TOPICAL OUTLINE: </w:t>
      </w:r>
    </w:p>
    <w:p w:rsidR="006D3D78" w:rsidRPr="006D3D78" w:rsidRDefault="006D3D78" w:rsidP="006D3D78">
      <w:pPr>
        <w:spacing w:after="0" w:line="240" w:lineRule="auto"/>
        <w:rPr>
          <w:rFonts w:ascii="Times New Roman" w:eastAsia="Times New Roman" w:hAnsi="Times New Roman" w:cs="Times New Roman"/>
          <w:bCs/>
          <w:sz w:val="24"/>
          <w:szCs w:val="24"/>
        </w:rPr>
      </w:pPr>
      <w:r w:rsidRPr="006D3D78">
        <w:rPr>
          <w:rFonts w:ascii="Times New Roman" w:eastAsia="Times New Roman" w:hAnsi="Times New Roman" w:cs="Times New Roman"/>
          <w:bCs/>
          <w:sz w:val="24"/>
          <w:szCs w:val="24"/>
        </w:rPr>
        <w:t xml:space="preserve">  </w:t>
      </w:r>
    </w:p>
    <w:p w:rsidR="006D3D78" w:rsidRPr="006D3D78" w:rsidRDefault="006D3D78" w:rsidP="006D3D78">
      <w:pPr>
        <w:pStyle w:val="ListParagraph"/>
        <w:numPr>
          <w:ilvl w:val="0"/>
          <w:numId w:val="3"/>
        </w:numPr>
        <w:spacing w:after="0" w:line="240" w:lineRule="auto"/>
        <w:rPr>
          <w:rFonts w:ascii="Times New Roman" w:eastAsia="Times New Roman" w:hAnsi="Times New Roman" w:cs="Times New Roman"/>
          <w:bCs/>
          <w:sz w:val="24"/>
          <w:szCs w:val="24"/>
        </w:rPr>
      </w:pPr>
      <w:r w:rsidRPr="006D3D78">
        <w:rPr>
          <w:rFonts w:ascii="Times New Roman" w:eastAsia="Times New Roman" w:hAnsi="Times New Roman" w:cs="Times New Roman"/>
          <w:bCs/>
          <w:sz w:val="24"/>
          <w:szCs w:val="24"/>
        </w:rPr>
        <w:t xml:space="preserve">Follow Safety Manuals / Safety Regulations / Safety Requirements </w:t>
      </w:r>
    </w:p>
    <w:p w:rsidR="006D3D78" w:rsidRPr="006D3D78" w:rsidRDefault="006D3D78" w:rsidP="006D3D78">
      <w:pPr>
        <w:pStyle w:val="ListParagraph"/>
        <w:numPr>
          <w:ilvl w:val="0"/>
          <w:numId w:val="3"/>
        </w:numPr>
        <w:spacing w:after="0" w:line="240" w:lineRule="auto"/>
        <w:rPr>
          <w:rFonts w:ascii="Times New Roman" w:eastAsia="Times New Roman" w:hAnsi="Times New Roman" w:cs="Times New Roman"/>
          <w:bCs/>
          <w:sz w:val="24"/>
          <w:szCs w:val="24"/>
        </w:rPr>
      </w:pPr>
      <w:r w:rsidRPr="006D3D78">
        <w:rPr>
          <w:rFonts w:ascii="Times New Roman" w:eastAsia="Times New Roman" w:hAnsi="Times New Roman" w:cs="Times New Roman"/>
          <w:bCs/>
          <w:sz w:val="24"/>
          <w:szCs w:val="24"/>
        </w:rPr>
        <w:t xml:space="preserve">Weld Tee-joints, Lap-joints and Butt-joints All Positions. (steel) </w:t>
      </w:r>
    </w:p>
    <w:p w:rsidR="006D3D78" w:rsidRPr="006D3D78" w:rsidRDefault="006D3D78" w:rsidP="006D3D78">
      <w:pPr>
        <w:pStyle w:val="ListParagraph"/>
        <w:numPr>
          <w:ilvl w:val="0"/>
          <w:numId w:val="3"/>
        </w:numPr>
        <w:spacing w:after="0" w:line="240" w:lineRule="auto"/>
        <w:rPr>
          <w:rFonts w:ascii="Times New Roman" w:eastAsia="Times New Roman" w:hAnsi="Times New Roman" w:cs="Times New Roman"/>
          <w:bCs/>
          <w:sz w:val="24"/>
          <w:szCs w:val="24"/>
        </w:rPr>
      </w:pPr>
      <w:r w:rsidRPr="006D3D78">
        <w:rPr>
          <w:rFonts w:ascii="Times New Roman" w:eastAsia="Times New Roman" w:hAnsi="Times New Roman" w:cs="Times New Roman"/>
          <w:bCs/>
          <w:sz w:val="24"/>
          <w:szCs w:val="24"/>
        </w:rPr>
        <w:t xml:space="preserve">Weld Tee-joints, Lap-joints and Butt-joints All Positions. (stainless steel) </w:t>
      </w:r>
    </w:p>
    <w:p w:rsidR="006D3D78" w:rsidRPr="006D3D78" w:rsidRDefault="006D3D78" w:rsidP="006D3D78">
      <w:pPr>
        <w:pStyle w:val="ListParagraph"/>
        <w:numPr>
          <w:ilvl w:val="0"/>
          <w:numId w:val="3"/>
        </w:numPr>
        <w:spacing w:after="0" w:line="240" w:lineRule="auto"/>
        <w:rPr>
          <w:rFonts w:ascii="Times New Roman" w:eastAsia="Times New Roman" w:hAnsi="Times New Roman" w:cs="Times New Roman"/>
          <w:bCs/>
          <w:sz w:val="24"/>
          <w:szCs w:val="24"/>
        </w:rPr>
      </w:pPr>
      <w:r w:rsidRPr="006D3D78">
        <w:rPr>
          <w:rFonts w:ascii="Times New Roman" w:eastAsia="Times New Roman" w:hAnsi="Times New Roman" w:cs="Times New Roman"/>
          <w:bCs/>
          <w:sz w:val="24"/>
          <w:szCs w:val="24"/>
        </w:rPr>
        <w:t xml:space="preserve">Weld Tee-joints, Lap-joints and Butt-joints All Positions. (aluminum) </w:t>
      </w:r>
    </w:p>
    <w:p w:rsidR="006D3D78" w:rsidRPr="006D3D78" w:rsidRDefault="006D3D78" w:rsidP="006D3D78">
      <w:pPr>
        <w:pStyle w:val="ListParagraph"/>
        <w:numPr>
          <w:ilvl w:val="0"/>
          <w:numId w:val="3"/>
        </w:numPr>
        <w:spacing w:after="0" w:line="240" w:lineRule="auto"/>
        <w:rPr>
          <w:rFonts w:ascii="Times New Roman" w:eastAsia="Times New Roman" w:hAnsi="Times New Roman" w:cs="Times New Roman"/>
          <w:bCs/>
          <w:sz w:val="24"/>
          <w:szCs w:val="24"/>
        </w:rPr>
      </w:pPr>
      <w:r w:rsidRPr="006D3D78">
        <w:rPr>
          <w:rFonts w:ascii="Times New Roman" w:eastAsia="Times New Roman" w:hAnsi="Times New Roman" w:cs="Times New Roman"/>
          <w:bCs/>
          <w:sz w:val="24"/>
          <w:szCs w:val="24"/>
        </w:rPr>
        <w:t xml:space="preserve">Single </w:t>
      </w:r>
      <w:proofErr w:type="spellStart"/>
      <w:r w:rsidRPr="006D3D78">
        <w:rPr>
          <w:rFonts w:ascii="Times New Roman" w:eastAsia="Times New Roman" w:hAnsi="Times New Roman" w:cs="Times New Roman"/>
          <w:bCs/>
          <w:sz w:val="24"/>
          <w:szCs w:val="24"/>
        </w:rPr>
        <w:t>vee</w:t>
      </w:r>
      <w:proofErr w:type="spellEnd"/>
      <w:r w:rsidRPr="006D3D78">
        <w:rPr>
          <w:rFonts w:ascii="Times New Roman" w:eastAsia="Times New Roman" w:hAnsi="Times New Roman" w:cs="Times New Roman"/>
          <w:bCs/>
          <w:sz w:val="24"/>
          <w:szCs w:val="24"/>
        </w:rPr>
        <w:t xml:space="preserve">-groove All Positions. </w:t>
      </w:r>
    </w:p>
    <w:p w:rsidR="006D3D78" w:rsidRPr="006D3D78" w:rsidRDefault="006D3D78" w:rsidP="006D3D78">
      <w:pPr>
        <w:pStyle w:val="ListParagraph"/>
        <w:numPr>
          <w:ilvl w:val="0"/>
          <w:numId w:val="3"/>
        </w:numPr>
        <w:spacing w:after="0" w:line="240" w:lineRule="auto"/>
        <w:rPr>
          <w:rFonts w:ascii="Times New Roman" w:eastAsia="Times New Roman" w:hAnsi="Times New Roman" w:cs="Times New Roman"/>
          <w:bCs/>
          <w:sz w:val="24"/>
          <w:szCs w:val="24"/>
        </w:rPr>
      </w:pPr>
      <w:r w:rsidRPr="006D3D78">
        <w:rPr>
          <w:rFonts w:ascii="Times New Roman" w:eastAsia="Times New Roman" w:hAnsi="Times New Roman" w:cs="Times New Roman"/>
          <w:bCs/>
          <w:sz w:val="24"/>
          <w:szCs w:val="24"/>
        </w:rPr>
        <w:t xml:space="preserve">Pipe Welding </w:t>
      </w:r>
      <w:bookmarkStart w:id="0" w:name="_GoBack"/>
      <w:bookmarkEnd w:id="0"/>
    </w:p>
    <w:p w:rsidR="006D3D78" w:rsidRDefault="006D3D78"/>
    <w:sectPr w:rsidR="006D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14BE"/>
    <w:multiLevelType w:val="hybridMultilevel"/>
    <w:tmpl w:val="B038CA96"/>
    <w:lvl w:ilvl="0" w:tplc="06E26BC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E82404D"/>
    <w:multiLevelType w:val="hybridMultilevel"/>
    <w:tmpl w:val="2E582D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55892"/>
    <w:multiLevelType w:val="hybridMultilevel"/>
    <w:tmpl w:val="D14A8818"/>
    <w:lvl w:ilvl="0" w:tplc="04090013">
      <w:start w:val="1"/>
      <w:numFmt w:val="upperRoman"/>
      <w:lvlText w:val="%1."/>
      <w:lvlJc w:val="right"/>
      <w:pPr>
        <w:ind w:left="720" w:hanging="360"/>
      </w:pPr>
    </w:lvl>
    <w:lvl w:ilvl="1" w:tplc="9432DFE6">
      <w:start w:val="1"/>
      <w:numFmt w:val="upperLetter"/>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74EAB"/>
    <w:multiLevelType w:val="hybridMultilevel"/>
    <w:tmpl w:val="D7F46BB6"/>
    <w:lvl w:ilvl="0" w:tplc="B554C5A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D1"/>
    <w:rsid w:val="006D3D78"/>
    <w:rsid w:val="00AA68D1"/>
    <w:rsid w:val="00F1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108">
      <w:bodyDiv w:val="1"/>
      <w:marLeft w:val="0"/>
      <w:marRight w:val="0"/>
      <w:marTop w:val="0"/>
      <w:marBottom w:val="0"/>
      <w:divBdr>
        <w:top w:val="none" w:sz="0" w:space="0" w:color="auto"/>
        <w:left w:val="none" w:sz="0" w:space="0" w:color="auto"/>
        <w:bottom w:val="none" w:sz="0" w:space="0" w:color="auto"/>
        <w:right w:val="none" w:sz="0" w:space="0" w:color="auto"/>
      </w:divBdr>
      <w:divsChild>
        <w:div w:id="165412865">
          <w:marLeft w:val="0"/>
          <w:marRight w:val="0"/>
          <w:marTop w:val="0"/>
          <w:marBottom w:val="0"/>
          <w:divBdr>
            <w:top w:val="none" w:sz="0" w:space="0" w:color="auto"/>
            <w:left w:val="none" w:sz="0" w:space="0" w:color="auto"/>
            <w:bottom w:val="none" w:sz="0" w:space="0" w:color="auto"/>
            <w:right w:val="none" w:sz="0" w:space="0" w:color="auto"/>
          </w:divBdr>
        </w:div>
        <w:div w:id="842815433">
          <w:marLeft w:val="0"/>
          <w:marRight w:val="0"/>
          <w:marTop w:val="0"/>
          <w:marBottom w:val="0"/>
          <w:divBdr>
            <w:top w:val="none" w:sz="0" w:space="0" w:color="auto"/>
            <w:left w:val="none" w:sz="0" w:space="0" w:color="auto"/>
            <w:bottom w:val="none" w:sz="0" w:space="0" w:color="auto"/>
            <w:right w:val="none" w:sz="0" w:space="0" w:color="auto"/>
          </w:divBdr>
        </w:div>
        <w:div w:id="1275165130">
          <w:marLeft w:val="0"/>
          <w:marRight w:val="0"/>
          <w:marTop w:val="0"/>
          <w:marBottom w:val="0"/>
          <w:divBdr>
            <w:top w:val="none" w:sz="0" w:space="0" w:color="auto"/>
            <w:left w:val="none" w:sz="0" w:space="0" w:color="auto"/>
            <w:bottom w:val="none" w:sz="0" w:space="0" w:color="auto"/>
            <w:right w:val="none" w:sz="0" w:space="0" w:color="auto"/>
          </w:divBdr>
        </w:div>
        <w:div w:id="1431000487">
          <w:marLeft w:val="0"/>
          <w:marRight w:val="0"/>
          <w:marTop w:val="0"/>
          <w:marBottom w:val="0"/>
          <w:divBdr>
            <w:top w:val="none" w:sz="0" w:space="0" w:color="auto"/>
            <w:left w:val="none" w:sz="0" w:space="0" w:color="auto"/>
            <w:bottom w:val="none" w:sz="0" w:space="0" w:color="auto"/>
            <w:right w:val="none" w:sz="0" w:space="0" w:color="auto"/>
          </w:divBdr>
        </w:div>
        <w:div w:id="2095200745">
          <w:marLeft w:val="0"/>
          <w:marRight w:val="0"/>
          <w:marTop w:val="0"/>
          <w:marBottom w:val="0"/>
          <w:divBdr>
            <w:top w:val="none" w:sz="0" w:space="0" w:color="auto"/>
            <w:left w:val="none" w:sz="0" w:space="0" w:color="auto"/>
            <w:bottom w:val="none" w:sz="0" w:space="0" w:color="auto"/>
            <w:right w:val="none" w:sz="0" w:space="0" w:color="auto"/>
          </w:divBdr>
        </w:div>
        <w:div w:id="985545696">
          <w:marLeft w:val="0"/>
          <w:marRight w:val="0"/>
          <w:marTop w:val="0"/>
          <w:marBottom w:val="0"/>
          <w:divBdr>
            <w:top w:val="none" w:sz="0" w:space="0" w:color="auto"/>
            <w:left w:val="none" w:sz="0" w:space="0" w:color="auto"/>
            <w:bottom w:val="none" w:sz="0" w:space="0" w:color="auto"/>
            <w:right w:val="none" w:sz="0" w:space="0" w:color="auto"/>
          </w:divBdr>
        </w:div>
        <w:div w:id="247813232">
          <w:marLeft w:val="0"/>
          <w:marRight w:val="0"/>
          <w:marTop w:val="0"/>
          <w:marBottom w:val="0"/>
          <w:divBdr>
            <w:top w:val="none" w:sz="0" w:space="0" w:color="auto"/>
            <w:left w:val="none" w:sz="0" w:space="0" w:color="auto"/>
            <w:bottom w:val="none" w:sz="0" w:space="0" w:color="auto"/>
            <w:right w:val="none" w:sz="0" w:space="0" w:color="auto"/>
          </w:divBdr>
        </w:div>
        <w:div w:id="1737823127">
          <w:marLeft w:val="0"/>
          <w:marRight w:val="0"/>
          <w:marTop w:val="0"/>
          <w:marBottom w:val="0"/>
          <w:divBdr>
            <w:top w:val="none" w:sz="0" w:space="0" w:color="auto"/>
            <w:left w:val="none" w:sz="0" w:space="0" w:color="auto"/>
            <w:bottom w:val="none" w:sz="0" w:space="0" w:color="auto"/>
            <w:right w:val="none" w:sz="0" w:space="0" w:color="auto"/>
          </w:divBdr>
        </w:div>
      </w:divsChild>
    </w:div>
    <w:div w:id="1363898609">
      <w:bodyDiv w:val="1"/>
      <w:marLeft w:val="0"/>
      <w:marRight w:val="0"/>
      <w:marTop w:val="0"/>
      <w:marBottom w:val="0"/>
      <w:divBdr>
        <w:top w:val="none" w:sz="0" w:space="0" w:color="auto"/>
        <w:left w:val="none" w:sz="0" w:space="0" w:color="auto"/>
        <w:bottom w:val="none" w:sz="0" w:space="0" w:color="auto"/>
        <w:right w:val="none" w:sz="0" w:space="0" w:color="auto"/>
      </w:divBdr>
    </w:div>
    <w:div w:id="1402947265">
      <w:bodyDiv w:val="1"/>
      <w:marLeft w:val="0"/>
      <w:marRight w:val="0"/>
      <w:marTop w:val="0"/>
      <w:marBottom w:val="0"/>
      <w:divBdr>
        <w:top w:val="none" w:sz="0" w:space="0" w:color="auto"/>
        <w:left w:val="none" w:sz="0" w:space="0" w:color="auto"/>
        <w:bottom w:val="none" w:sz="0" w:space="0" w:color="auto"/>
        <w:right w:val="none" w:sz="0" w:space="0" w:color="auto"/>
      </w:divBdr>
      <w:divsChild>
        <w:div w:id="1529103085">
          <w:marLeft w:val="0"/>
          <w:marRight w:val="0"/>
          <w:marTop w:val="0"/>
          <w:marBottom w:val="0"/>
          <w:divBdr>
            <w:top w:val="none" w:sz="0" w:space="0" w:color="auto"/>
            <w:left w:val="none" w:sz="0" w:space="0" w:color="auto"/>
            <w:bottom w:val="none" w:sz="0" w:space="0" w:color="auto"/>
            <w:right w:val="none" w:sz="0" w:space="0" w:color="auto"/>
          </w:divBdr>
        </w:div>
        <w:div w:id="700514557">
          <w:marLeft w:val="0"/>
          <w:marRight w:val="0"/>
          <w:marTop w:val="0"/>
          <w:marBottom w:val="0"/>
          <w:divBdr>
            <w:top w:val="none" w:sz="0" w:space="0" w:color="auto"/>
            <w:left w:val="none" w:sz="0" w:space="0" w:color="auto"/>
            <w:bottom w:val="none" w:sz="0" w:space="0" w:color="auto"/>
            <w:right w:val="none" w:sz="0" w:space="0" w:color="auto"/>
          </w:divBdr>
        </w:div>
        <w:div w:id="63841384">
          <w:marLeft w:val="0"/>
          <w:marRight w:val="0"/>
          <w:marTop w:val="0"/>
          <w:marBottom w:val="0"/>
          <w:divBdr>
            <w:top w:val="none" w:sz="0" w:space="0" w:color="auto"/>
            <w:left w:val="none" w:sz="0" w:space="0" w:color="auto"/>
            <w:bottom w:val="none" w:sz="0" w:space="0" w:color="auto"/>
            <w:right w:val="none" w:sz="0" w:space="0" w:color="auto"/>
          </w:divBdr>
        </w:div>
        <w:div w:id="1077093309">
          <w:marLeft w:val="0"/>
          <w:marRight w:val="0"/>
          <w:marTop w:val="0"/>
          <w:marBottom w:val="0"/>
          <w:divBdr>
            <w:top w:val="none" w:sz="0" w:space="0" w:color="auto"/>
            <w:left w:val="none" w:sz="0" w:space="0" w:color="auto"/>
            <w:bottom w:val="none" w:sz="0" w:space="0" w:color="auto"/>
            <w:right w:val="none" w:sz="0" w:space="0" w:color="auto"/>
          </w:divBdr>
        </w:div>
        <w:div w:id="184027760">
          <w:marLeft w:val="0"/>
          <w:marRight w:val="0"/>
          <w:marTop w:val="0"/>
          <w:marBottom w:val="0"/>
          <w:divBdr>
            <w:top w:val="none" w:sz="0" w:space="0" w:color="auto"/>
            <w:left w:val="none" w:sz="0" w:space="0" w:color="auto"/>
            <w:bottom w:val="none" w:sz="0" w:space="0" w:color="auto"/>
            <w:right w:val="none" w:sz="0" w:space="0" w:color="auto"/>
          </w:divBdr>
        </w:div>
        <w:div w:id="1815247952">
          <w:marLeft w:val="0"/>
          <w:marRight w:val="0"/>
          <w:marTop w:val="0"/>
          <w:marBottom w:val="0"/>
          <w:divBdr>
            <w:top w:val="none" w:sz="0" w:space="0" w:color="auto"/>
            <w:left w:val="none" w:sz="0" w:space="0" w:color="auto"/>
            <w:bottom w:val="none" w:sz="0" w:space="0" w:color="auto"/>
            <w:right w:val="none" w:sz="0" w:space="0" w:color="auto"/>
          </w:divBdr>
        </w:div>
        <w:div w:id="1176769365">
          <w:marLeft w:val="0"/>
          <w:marRight w:val="0"/>
          <w:marTop w:val="0"/>
          <w:marBottom w:val="0"/>
          <w:divBdr>
            <w:top w:val="none" w:sz="0" w:space="0" w:color="auto"/>
            <w:left w:val="none" w:sz="0" w:space="0" w:color="auto"/>
            <w:bottom w:val="none" w:sz="0" w:space="0" w:color="auto"/>
            <w:right w:val="none" w:sz="0" w:space="0" w:color="auto"/>
          </w:divBdr>
        </w:div>
        <w:div w:id="601568494">
          <w:marLeft w:val="0"/>
          <w:marRight w:val="0"/>
          <w:marTop w:val="0"/>
          <w:marBottom w:val="0"/>
          <w:divBdr>
            <w:top w:val="none" w:sz="0" w:space="0" w:color="auto"/>
            <w:left w:val="none" w:sz="0" w:space="0" w:color="auto"/>
            <w:bottom w:val="none" w:sz="0" w:space="0" w:color="auto"/>
            <w:right w:val="none" w:sz="0" w:space="0" w:color="auto"/>
          </w:divBdr>
        </w:div>
        <w:div w:id="910191659">
          <w:marLeft w:val="0"/>
          <w:marRight w:val="0"/>
          <w:marTop w:val="0"/>
          <w:marBottom w:val="0"/>
          <w:divBdr>
            <w:top w:val="none" w:sz="0" w:space="0" w:color="auto"/>
            <w:left w:val="none" w:sz="0" w:space="0" w:color="auto"/>
            <w:bottom w:val="none" w:sz="0" w:space="0" w:color="auto"/>
            <w:right w:val="none" w:sz="0" w:space="0" w:color="auto"/>
          </w:divBdr>
        </w:div>
        <w:div w:id="1388650656">
          <w:marLeft w:val="0"/>
          <w:marRight w:val="0"/>
          <w:marTop w:val="0"/>
          <w:marBottom w:val="0"/>
          <w:divBdr>
            <w:top w:val="none" w:sz="0" w:space="0" w:color="auto"/>
            <w:left w:val="none" w:sz="0" w:space="0" w:color="auto"/>
            <w:bottom w:val="none" w:sz="0" w:space="0" w:color="auto"/>
            <w:right w:val="none" w:sz="0" w:space="0" w:color="auto"/>
          </w:divBdr>
        </w:div>
        <w:div w:id="641233115">
          <w:marLeft w:val="0"/>
          <w:marRight w:val="0"/>
          <w:marTop w:val="0"/>
          <w:marBottom w:val="0"/>
          <w:divBdr>
            <w:top w:val="none" w:sz="0" w:space="0" w:color="auto"/>
            <w:left w:val="none" w:sz="0" w:space="0" w:color="auto"/>
            <w:bottom w:val="none" w:sz="0" w:space="0" w:color="auto"/>
            <w:right w:val="none" w:sz="0" w:space="0" w:color="auto"/>
          </w:divBdr>
        </w:div>
        <w:div w:id="948777426">
          <w:marLeft w:val="0"/>
          <w:marRight w:val="0"/>
          <w:marTop w:val="0"/>
          <w:marBottom w:val="0"/>
          <w:divBdr>
            <w:top w:val="none" w:sz="0" w:space="0" w:color="auto"/>
            <w:left w:val="none" w:sz="0" w:space="0" w:color="auto"/>
            <w:bottom w:val="none" w:sz="0" w:space="0" w:color="auto"/>
            <w:right w:val="none" w:sz="0" w:space="0" w:color="auto"/>
          </w:divBdr>
        </w:div>
        <w:div w:id="1528790055">
          <w:marLeft w:val="0"/>
          <w:marRight w:val="0"/>
          <w:marTop w:val="0"/>
          <w:marBottom w:val="0"/>
          <w:divBdr>
            <w:top w:val="none" w:sz="0" w:space="0" w:color="auto"/>
            <w:left w:val="none" w:sz="0" w:space="0" w:color="auto"/>
            <w:bottom w:val="none" w:sz="0" w:space="0" w:color="auto"/>
            <w:right w:val="none" w:sz="0" w:space="0" w:color="auto"/>
          </w:divBdr>
        </w:div>
        <w:div w:id="566188133">
          <w:marLeft w:val="0"/>
          <w:marRight w:val="0"/>
          <w:marTop w:val="0"/>
          <w:marBottom w:val="0"/>
          <w:divBdr>
            <w:top w:val="none" w:sz="0" w:space="0" w:color="auto"/>
            <w:left w:val="none" w:sz="0" w:space="0" w:color="auto"/>
            <w:bottom w:val="none" w:sz="0" w:space="0" w:color="auto"/>
            <w:right w:val="none" w:sz="0" w:space="0" w:color="auto"/>
          </w:divBdr>
        </w:div>
        <w:div w:id="1019047055">
          <w:marLeft w:val="0"/>
          <w:marRight w:val="0"/>
          <w:marTop w:val="0"/>
          <w:marBottom w:val="0"/>
          <w:divBdr>
            <w:top w:val="none" w:sz="0" w:space="0" w:color="auto"/>
            <w:left w:val="none" w:sz="0" w:space="0" w:color="auto"/>
            <w:bottom w:val="none" w:sz="0" w:space="0" w:color="auto"/>
            <w:right w:val="none" w:sz="0" w:space="0" w:color="auto"/>
          </w:divBdr>
        </w:div>
        <w:div w:id="1120614321">
          <w:marLeft w:val="0"/>
          <w:marRight w:val="0"/>
          <w:marTop w:val="0"/>
          <w:marBottom w:val="0"/>
          <w:divBdr>
            <w:top w:val="none" w:sz="0" w:space="0" w:color="auto"/>
            <w:left w:val="none" w:sz="0" w:space="0" w:color="auto"/>
            <w:bottom w:val="none" w:sz="0" w:space="0" w:color="auto"/>
            <w:right w:val="none" w:sz="0" w:space="0" w:color="auto"/>
          </w:divBdr>
        </w:div>
        <w:div w:id="446973964">
          <w:marLeft w:val="0"/>
          <w:marRight w:val="0"/>
          <w:marTop w:val="0"/>
          <w:marBottom w:val="0"/>
          <w:divBdr>
            <w:top w:val="none" w:sz="0" w:space="0" w:color="auto"/>
            <w:left w:val="none" w:sz="0" w:space="0" w:color="auto"/>
            <w:bottom w:val="none" w:sz="0" w:space="0" w:color="auto"/>
            <w:right w:val="none" w:sz="0" w:space="0" w:color="auto"/>
          </w:divBdr>
        </w:div>
        <w:div w:id="387459963">
          <w:marLeft w:val="0"/>
          <w:marRight w:val="0"/>
          <w:marTop w:val="0"/>
          <w:marBottom w:val="0"/>
          <w:divBdr>
            <w:top w:val="none" w:sz="0" w:space="0" w:color="auto"/>
            <w:left w:val="none" w:sz="0" w:space="0" w:color="auto"/>
            <w:bottom w:val="none" w:sz="0" w:space="0" w:color="auto"/>
            <w:right w:val="none" w:sz="0" w:space="0" w:color="auto"/>
          </w:divBdr>
        </w:div>
        <w:div w:id="30586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Lindstrom, Peter (CCCS)</dc:creator>
  <cp:lastModifiedBy>Lindstrom, Peter (CCCS)</cp:lastModifiedBy>
  <cp:revision>2</cp:revision>
  <dcterms:created xsi:type="dcterms:W3CDTF">2014-12-22T21:48:00Z</dcterms:created>
  <dcterms:modified xsi:type="dcterms:W3CDTF">2014-12-23T16:37:00Z</dcterms:modified>
</cp:coreProperties>
</file>