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0E" w:rsidRDefault="00BA380E">
      <w:pPr>
        <w:jc w:val="right"/>
      </w:pPr>
      <w:r>
        <w:t xml:space="preserve">Proc.#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88"/>
        <w:gridCol w:w="9810"/>
      </w:tblGrid>
      <w:tr w:rsidR="00BA380E">
        <w:tblPrEx>
          <w:tblCellMar>
            <w:top w:w="0" w:type="dxa"/>
            <w:bottom w:w="0" w:type="dxa"/>
          </w:tblCellMar>
        </w:tblPrEx>
        <w:tc>
          <w:tcPr>
            <w:tcW w:w="1188" w:type="dxa"/>
          </w:tcPr>
          <w:p w:rsidR="00BA380E" w:rsidRDefault="00BA380E">
            <w:pPr>
              <w:rPr>
                <w:sz w:val="20"/>
              </w:rPr>
            </w:pPr>
            <w:r>
              <w:rPr>
                <w:sz w:val="20"/>
              </w:rPr>
              <w:t>Procedure</w:t>
            </w:r>
          </w:p>
        </w:tc>
        <w:tc>
          <w:tcPr>
            <w:tcW w:w="9810" w:type="dxa"/>
          </w:tcPr>
          <w:p w:rsidR="00BA380E" w:rsidRDefault="00BA380E">
            <w:pPr>
              <w:pStyle w:val="Heading1"/>
            </w:pPr>
            <w:r>
              <w:t>Fungal Cultures</w:t>
            </w:r>
          </w:p>
        </w:tc>
      </w:tr>
    </w:tbl>
    <w:p w:rsidR="00BA380E" w:rsidRDefault="00BA380E">
      <w:pPr>
        <w:rPr>
          <w:sz w:val="20"/>
        </w:rPr>
      </w:pPr>
    </w:p>
    <w:p w:rsidR="00BA380E" w:rsidRDefault="00BA380E">
      <w:pPr>
        <w:rPr>
          <w:rFonts w:ascii="Arial" w:hAnsi="Arial"/>
          <w:sz w:val="20"/>
        </w:rPr>
      </w:pPr>
    </w:p>
    <w:p w:rsidR="00BA380E" w:rsidRDefault="00BA380E">
      <w:pPr>
        <w:rPr>
          <w:rFonts w:ascii="Arial" w:hAnsi="Arial"/>
          <w:sz w:val="20"/>
        </w:rPr>
      </w:pPr>
      <w:r>
        <w:rPr>
          <w:rFonts w:ascii="Arial" w:hAnsi="Arial"/>
          <w:b/>
          <w:sz w:val="20"/>
          <w:u w:val="single"/>
        </w:rPr>
        <w:t>Principle</w:t>
      </w:r>
      <w:r>
        <w:rPr>
          <w:rFonts w:ascii="Arial" w:hAnsi="Arial"/>
          <w:sz w:val="20"/>
        </w:rPr>
        <w:t xml:space="preserve">:  </w:t>
      </w:r>
      <w:r>
        <w:rPr>
          <w:rFonts w:ascii="Arial" w:hAnsi="Arial"/>
          <w:sz w:val="20"/>
        </w:rPr>
        <w:fldChar w:fldCharType="begin">
          <w:ffData>
            <w:name w:val="Text17"/>
            <w:enabled/>
            <w:calcOnExit w:val="0"/>
            <w:textInput/>
          </w:ffData>
        </w:fldChar>
      </w:r>
      <w:bookmarkStart w:id="0"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Describes the proper procedure for the collection and processing of specimens for fungal culture.</w:t>
      </w:r>
      <w:r>
        <w:rPr>
          <w:rFonts w:ascii="Arial" w:hAnsi="Arial"/>
          <w:sz w:val="20"/>
        </w:rPr>
        <w:fldChar w:fldCharType="end"/>
      </w:r>
      <w:bookmarkEnd w:id="0"/>
    </w:p>
    <w:p w:rsidR="00BA380E" w:rsidRDefault="00BA380E">
      <w:pPr>
        <w:rPr>
          <w:rFonts w:ascii="Arial" w:hAnsi="Arial"/>
          <w:sz w:val="20"/>
        </w:rPr>
      </w:pPr>
    </w:p>
    <w:p w:rsidR="00BA380E" w:rsidRDefault="00BA380E">
      <w:pPr>
        <w:rPr>
          <w:rFonts w:ascii="Arial" w:hAnsi="Arial"/>
          <w:sz w:val="20"/>
        </w:rPr>
      </w:pPr>
      <w:r>
        <w:rPr>
          <w:rFonts w:ascii="Arial" w:hAnsi="Arial"/>
          <w:b/>
          <w:sz w:val="20"/>
          <w:u w:val="single"/>
        </w:rPr>
        <w:t>Specimen</w:t>
      </w:r>
      <w:r>
        <w:rPr>
          <w:rFonts w:ascii="Arial" w:hAnsi="Arial"/>
          <w:sz w:val="20"/>
        </w:rPr>
        <w:t xml:space="preserve">: </w:t>
      </w:r>
    </w:p>
    <w:p w:rsidR="00BA380E" w:rsidRDefault="00BA380E">
      <w:pPr>
        <w:numPr>
          <w:ilvl w:val="0"/>
          <w:numId w:val="1"/>
        </w:numPr>
      </w:pPr>
      <w:r>
        <w:rPr>
          <w:rFonts w:ascii="Arial" w:hAnsi="Arial"/>
          <w:b/>
          <w:i/>
          <w:sz w:val="20"/>
        </w:rPr>
        <w:t>Patient Preparation</w:t>
      </w:r>
      <w:r>
        <w:rPr>
          <w:rFonts w:ascii="Arial" w:hAnsi="Arial"/>
          <w:sz w:val="20"/>
        </w:rPr>
        <w:t xml:space="preserve">:  </w:t>
      </w:r>
      <w:r>
        <w:rPr>
          <w:rFonts w:ascii="Arial" w:hAnsi="Arial"/>
          <w:sz w:val="20"/>
        </w:rPr>
        <w:fldChar w:fldCharType="begin">
          <w:ffData>
            <w:name w:val="Text6"/>
            <w:enabled/>
            <w:calcOnExit w:val="0"/>
            <w:textInput/>
          </w:ffData>
        </w:fldChar>
      </w:r>
      <w:bookmarkStart w:id="1"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Not applicable</w:t>
      </w:r>
      <w:r>
        <w:rPr>
          <w:rFonts w:ascii="Arial" w:hAnsi="Arial"/>
          <w:sz w:val="20"/>
        </w:rPr>
        <w:fldChar w:fldCharType="end"/>
      </w:r>
      <w:bookmarkEnd w:id="1"/>
    </w:p>
    <w:p w:rsidR="00BA380E" w:rsidRDefault="00BA380E">
      <w:pPr>
        <w:numPr>
          <w:ilvl w:val="0"/>
          <w:numId w:val="1"/>
        </w:numPr>
      </w:pPr>
      <w:r>
        <w:rPr>
          <w:rFonts w:ascii="Arial" w:hAnsi="Arial"/>
          <w:b/>
          <w:i/>
          <w:sz w:val="20"/>
        </w:rPr>
        <w:t>Type of Specimen</w:t>
      </w:r>
      <w:r>
        <w:rPr>
          <w:rFonts w:ascii="Arial" w:hAnsi="Arial"/>
          <w:sz w:val="20"/>
        </w:rPr>
        <w:t xml:space="preserve">:  </w:t>
      </w:r>
      <w:r>
        <w:rPr>
          <w:rFonts w:ascii="Arial" w:hAnsi="Arial"/>
          <w:sz w:val="20"/>
        </w:rPr>
        <w:fldChar w:fldCharType="begin">
          <w:ffData>
            <w:name w:val="Text7"/>
            <w:enabled/>
            <w:calcOnExit w:val="0"/>
            <w:textInput/>
          </w:ffData>
        </w:fldChar>
      </w:r>
      <w:bookmarkStart w:id="2"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Appropriately collected specimens for culture as described below in “Procedure” section.</w:t>
      </w:r>
      <w:r>
        <w:rPr>
          <w:rFonts w:ascii="Arial" w:hAnsi="Arial"/>
          <w:sz w:val="20"/>
        </w:rPr>
        <w:fldChar w:fldCharType="end"/>
      </w:r>
      <w:bookmarkEnd w:id="2"/>
    </w:p>
    <w:p w:rsidR="00BA380E" w:rsidRDefault="00BA380E">
      <w:pPr>
        <w:numPr>
          <w:ilvl w:val="0"/>
          <w:numId w:val="1"/>
        </w:numPr>
      </w:pPr>
      <w:r>
        <w:rPr>
          <w:rFonts w:ascii="Arial" w:hAnsi="Arial"/>
          <w:b/>
          <w:i/>
          <w:sz w:val="20"/>
        </w:rPr>
        <w:t>Specimen Handling</w:t>
      </w:r>
      <w:r>
        <w:rPr>
          <w:rFonts w:ascii="Arial" w:hAnsi="Arial"/>
          <w:sz w:val="20"/>
        </w:rPr>
        <w:t xml:space="preserve">:  </w:t>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All specimens are transported to the lab in a timely manner with adherance to laboratory safety and infection control policies</w:t>
      </w:r>
      <w:r>
        <w:rPr>
          <w:rFonts w:ascii="Arial" w:hAnsi="Arial"/>
          <w:sz w:val="20"/>
        </w:rPr>
        <w:fldChar w:fldCharType="end"/>
      </w:r>
      <w:bookmarkEnd w:id="3"/>
    </w:p>
    <w:p w:rsidR="00BA380E" w:rsidRDefault="00BA380E">
      <w:pPr>
        <w:rPr>
          <w:rFonts w:ascii="Arial" w:hAnsi="Arial"/>
          <w:sz w:val="20"/>
        </w:rPr>
      </w:pPr>
    </w:p>
    <w:p w:rsidR="00BA380E" w:rsidRDefault="00BA380E">
      <w:pPr>
        <w:rPr>
          <w:rFonts w:ascii="Arial" w:hAnsi="Arial"/>
          <w:sz w:val="20"/>
        </w:rPr>
      </w:pPr>
      <w:r>
        <w:rPr>
          <w:rFonts w:ascii="Arial" w:hAnsi="Arial"/>
          <w:b/>
          <w:sz w:val="20"/>
          <w:u w:val="single"/>
        </w:rPr>
        <w:t>Equipment and Materials</w:t>
      </w:r>
      <w:r>
        <w:rPr>
          <w:rFonts w:ascii="Arial" w:hAnsi="Arial"/>
          <w:sz w:val="20"/>
        </w:rPr>
        <w:t>:</w:t>
      </w:r>
    </w:p>
    <w:p w:rsidR="00BA380E" w:rsidRDefault="00BA380E">
      <w:pPr>
        <w:numPr>
          <w:ilvl w:val="0"/>
          <w:numId w:val="2"/>
        </w:numPr>
      </w:pPr>
      <w:r>
        <w:rPr>
          <w:rFonts w:ascii="Arial" w:hAnsi="Arial"/>
          <w:b/>
          <w:i/>
          <w:sz w:val="20"/>
        </w:rPr>
        <w:t>Equipment</w:t>
      </w:r>
      <w:r>
        <w:rPr>
          <w:rFonts w:ascii="Arial" w:hAnsi="Arial"/>
          <w:sz w:val="20"/>
        </w:rPr>
        <w:t xml:space="preserve">:  </w:t>
      </w:r>
      <w:r>
        <w:rPr>
          <w:rFonts w:ascii="Arial" w:hAnsi="Arial"/>
          <w:sz w:val="20"/>
        </w:rPr>
        <w:fldChar w:fldCharType="begin">
          <w:ffData>
            <w:name w:val="Text9"/>
            <w:enabled/>
            <w:calcOnExit w:val="0"/>
            <w:textInput/>
          </w:ffData>
        </w:fldChar>
      </w:r>
      <w:bookmarkStart w:id="4"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30°C incubator</w:t>
      </w:r>
      <w:r>
        <w:rPr>
          <w:rFonts w:ascii="Arial" w:hAnsi="Arial"/>
          <w:sz w:val="20"/>
        </w:rPr>
        <w:fldChar w:fldCharType="end"/>
      </w:r>
      <w:bookmarkEnd w:id="4"/>
    </w:p>
    <w:p w:rsidR="00BA380E" w:rsidRDefault="00BA380E">
      <w:pPr>
        <w:numPr>
          <w:ilvl w:val="0"/>
          <w:numId w:val="2"/>
        </w:numPr>
      </w:pPr>
      <w:r>
        <w:rPr>
          <w:rFonts w:ascii="Arial" w:hAnsi="Arial"/>
          <w:b/>
          <w:i/>
          <w:sz w:val="20"/>
        </w:rPr>
        <w:t>Materials</w:t>
      </w:r>
      <w:r>
        <w:rPr>
          <w:rFonts w:ascii="Arial" w:hAnsi="Arial"/>
          <w:sz w:val="20"/>
        </w:rPr>
        <w:t xml:space="preserve">:  </w:t>
      </w:r>
      <w:r>
        <w:rPr>
          <w:rFonts w:ascii="Arial" w:hAnsi="Arial"/>
          <w:sz w:val="20"/>
        </w:rPr>
        <w:fldChar w:fldCharType="begin">
          <w:ffData>
            <w:name w:val="Text10"/>
            <w:enabled/>
            <w:calcOnExit w:val="0"/>
            <w:textInput/>
          </w:ffData>
        </w:fldChar>
      </w:r>
      <w:bookmarkStart w:id="5"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Sabouraud’s Dextrose or SABHI agar, BHI with 10% sheep blood and gentamicin &amp; chloramphenicol, and, when indicated, mycosel agar for dermatophytes.</w:t>
      </w:r>
      <w:r>
        <w:rPr>
          <w:rFonts w:ascii="Arial" w:hAnsi="Arial"/>
          <w:sz w:val="20"/>
        </w:rPr>
        <w:fldChar w:fldCharType="end"/>
      </w:r>
      <w:bookmarkEnd w:id="5"/>
    </w:p>
    <w:p w:rsidR="00BA380E" w:rsidRDefault="00BA380E">
      <w:pPr>
        <w:numPr>
          <w:ilvl w:val="0"/>
          <w:numId w:val="2"/>
        </w:numPr>
      </w:pPr>
      <w:r>
        <w:rPr>
          <w:rFonts w:ascii="Arial" w:hAnsi="Arial"/>
          <w:b/>
          <w:i/>
          <w:sz w:val="20"/>
        </w:rPr>
        <w:t>Materials</w:t>
      </w:r>
      <w:r>
        <w:rPr>
          <w:rFonts w:ascii="Arial" w:hAnsi="Arial"/>
          <w:sz w:val="20"/>
        </w:rPr>
        <w:t xml:space="preserve"> </w:t>
      </w:r>
      <w:r>
        <w:rPr>
          <w:rFonts w:ascii="Arial" w:hAnsi="Arial"/>
          <w:b/>
          <w:i/>
          <w:sz w:val="20"/>
        </w:rPr>
        <w:t>Preparation</w:t>
      </w:r>
      <w:r>
        <w:rPr>
          <w:rFonts w:ascii="Arial" w:hAnsi="Arial"/>
          <w:sz w:val="20"/>
        </w:rPr>
        <w:t xml:space="preserve">: </w:t>
      </w:r>
      <w:r>
        <w:rPr>
          <w:rFonts w:ascii="Arial" w:hAnsi="Arial"/>
          <w:sz w:val="20"/>
        </w:rPr>
        <w:fldChar w:fldCharType="begin">
          <w:ffData>
            <w:name w:val="Text11"/>
            <w:enabled/>
            <w:calcOnExit w:val="0"/>
            <w:textInput/>
          </w:ffData>
        </w:fldChar>
      </w:r>
      <w:bookmarkStart w:id="6"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Media plates are warmed enough to write on the backs with marker pen.</w:t>
      </w:r>
      <w:r>
        <w:rPr>
          <w:rFonts w:ascii="Arial" w:hAnsi="Arial"/>
          <w:sz w:val="20"/>
        </w:rPr>
        <w:fldChar w:fldCharType="end"/>
      </w:r>
      <w:bookmarkEnd w:id="6"/>
    </w:p>
    <w:p w:rsidR="00BA380E" w:rsidRDefault="00BA380E">
      <w:pPr>
        <w:numPr>
          <w:ilvl w:val="0"/>
          <w:numId w:val="2"/>
        </w:numPr>
      </w:pPr>
      <w:r>
        <w:rPr>
          <w:rFonts w:ascii="Arial" w:hAnsi="Arial"/>
          <w:b/>
          <w:i/>
          <w:sz w:val="20"/>
        </w:rPr>
        <w:t>Performance Parameters</w:t>
      </w:r>
      <w:r>
        <w:rPr>
          <w:rFonts w:ascii="Arial" w:hAnsi="Arial"/>
          <w:sz w:val="20"/>
        </w:rPr>
        <w:t xml:space="preserve">: </w:t>
      </w:r>
      <w:r>
        <w:rPr>
          <w:rFonts w:ascii="Arial" w:hAnsi="Arial"/>
          <w:sz w:val="20"/>
        </w:rPr>
        <w:fldChar w:fldCharType="begin">
          <w:ffData>
            <w:name w:val="Text12"/>
            <w:enabled/>
            <w:calcOnExit w:val="0"/>
            <w:textInput/>
          </w:ffData>
        </w:fldChar>
      </w:r>
      <w:bookmarkStart w:id="7"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Not applicable</w:t>
      </w:r>
      <w:r>
        <w:rPr>
          <w:rFonts w:ascii="Arial" w:hAnsi="Arial"/>
          <w:sz w:val="20"/>
        </w:rPr>
        <w:fldChar w:fldCharType="end"/>
      </w:r>
      <w:bookmarkEnd w:id="7"/>
    </w:p>
    <w:p w:rsidR="00BA380E" w:rsidRDefault="00BA380E">
      <w:pPr>
        <w:numPr>
          <w:ilvl w:val="0"/>
          <w:numId w:val="2"/>
        </w:numPr>
      </w:pPr>
      <w:r>
        <w:rPr>
          <w:rFonts w:ascii="Arial" w:hAnsi="Arial"/>
          <w:b/>
          <w:i/>
          <w:sz w:val="20"/>
        </w:rPr>
        <w:t>Storage Requirements</w:t>
      </w:r>
      <w:r>
        <w:rPr>
          <w:rFonts w:ascii="Arial" w:hAnsi="Arial"/>
          <w:sz w:val="20"/>
        </w:rPr>
        <w:t xml:space="preserve">:  </w:t>
      </w:r>
      <w:r>
        <w:rPr>
          <w:rFonts w:ascii="Arial" w:hAnsi="Arial"/>
          <w:sz w:val="20"/>
        </w:rPr>
        <w:fldChar w:fldCharType="begin">
          <w:ffData>
            <w:name w:val="Text13"/>
            <w:enabled/>
            <w:calcOnExit w:val="0"/>
            <w:textInput/>
          </w:ffData>
        </w:fldChar>
      </w:r>
      <w:bookmarkStart w:id="8" w:name="Text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Media is stored at 2-8°C in the orange Jewett refrigerator.</w:t>
      </w:r>
      <w:r>
        <w:rPr>
          <w:rFonts w:ascii="Arial" w:hAnsi="Arial"/>
          <w:sz w:val="20"/>
        </w:rPr>
        <w:fldChar w:fldCharType="end"/>
      </w:r>
      <w:bookmarkEnd w:id="8"/>
    </w:p>
    <w:p w:rsidR="00BA380E" w:rsidRDefault="00BA380E">
      <w:pPr>
        <w:sectPr w:rsidR="00BA380E">
          <w:headerReference w:type="default" r:id="rId7"/>
          <w:pgSz w:w="12240" w:h="15840"/>
          <w:pgMar w:top="720" w:right="864" w:bottom="720" w:left="720" w:header="720" w:footer="965" w:gutter="0"/>
          <w:cols w:space="720"/>
        </w:sectPr>
      </w:pPr>
    </w:p>
    <w:p w:rsidR="00BA380E" w:rsidRDefault="00BA380E"/>
    <w:p w:rsidR="00BA380E" w:rsidRDefault="00BA380E">
      <w:pPr>
        <w:rPr>
          <w:rFonts w:ascii="Arial" w:hAnsi="Arial"/>
          <w:sz w:val="20"/>
        </w:rPr>
      </w:pPr>
      <w:r>
        <w:rPr>
          <w:rFonts w:ascii="Arial" w:hAnsi="Arial"/>
          <w:b/>
          <w:sz w:val="20"/>
          <w:u w:val="single"/>
        </w:rPr>
        <w:t>Calibration</w:t>
      </w:r>
      <w:r>
        <w:rPr>
          <w:rFonts w:ascii="Arial" w:hAnsi="Arial"/>
          <w:sz w:val="20"/>
        </w:rPr>
        <w:t>: Not Applicable</w:t>
      </w:r>
    </w:p>
    <w:p w:rsidR="00BA380E" w:rsidRDefault="00BA380E">
      <w:pPr>
        <w:rPr>
          <w:rFonts w:ascii="Arial" w:hAnsi="Arial"/>
          <w:sz w:val="20"/>
        </w:rPr>
      </w:pPr>
    </w:p>
    <w:p w:rsidR="00BA380E" w:rsidRDefault="00BA380E">
      <w:pPr>
        <w:rPr>
          <w:rFonts w:ascii="Arial" w:hAnsi="Arial"/>
          <w:sz w:val="20"/>
        </w:rPr>
      </w:pPr>
      <w:r>
        <w:rPr>
          <w:rFonts w:ascii="Arial" w:hAnsi="Arial"/>
          <w:b/>
          <w:sz w:val="20"/>
          <w:u w:val="single"/>
        </w:rPr>
        <w:t>Quality Control</w:t>
      </w:r>
      <w:r>
        <w:rPr>
          <w:rFonts w:ascii="Arial" w:hAnsi="Arial"/>
          <w:sz w:val="20"/>
        </w:rPr>
        <w:t>: Media is quality controlled according to NCCLS guidelines</w:t>
      </w:r>
    </w:p>
    <w:p w:rsidR="00BA380E" w:rsidRDefault="00BA380E">
      <w:pPr>
        <w:rPr>
          <w:rFonts w:ascii="Arial" w:hAnsi="Arial"/>
          <w:sz w:val="20"/>
        </w:rPr>
      </w:pPr>
    </w:p>
    <w:p w:rsidR="00BA380E" w:rsidRDefault="00BA380E">
      <w:pPr>
        <w:rPr>
          <w:rFonts w:ascii="Arial" w:hAnsi="Arial"/>
          <w:sz w:val="20"/>
        </w:rPr>
      </w:pPr>
      <w:r>
        <w:rPr>
          <w:rFonts w:ascii="Arial" w:hAnsi="Arial"/>
          <w:b/>
          <w:sz w:val="20"/>
          <w:u w:val="single"/>
        </w:rPr>
        <w:t>Procedure</w:t>
      </w:r>
      <w:r>
        <w:rPr>
          <w:rFonts w:ascii="Arial" w:hAnsi="Arial"/>
          <w:sz w:val="20"/>
        </w:rPr>
        <w:t>:</w:t>
      </w:r>
    </w:p>
    <w:p w:rsidR="00BA380E" w:rsidRDefault="00BA380E">
      <w:pPr>
        <w:numPr>
          <w:ilvl w:val="0"/>
          <w:numId w:val="3"/>
        </w:numPr>
        <w:rPr>
          <w:rFonts w:ascii="Arial" w:hAnsi="Arial"/>
          <w:sz w:val="20"/>
        </w:rPr>
      </w:pPr>
      <w:r>
        <w:rPr>
          <w:rFonts w:ascii="Arial" w:hAnsi="Arial"/>
          <w:b/>
          <w:i/>
          <w:sz w:val="20"/>
        </w:rPr>
        <w:t>Collection</w:t>
      </w:r>
      <w:r>
        <w:rPr>
          <w:rFonts w:ascii="Arial" w:hAnsi="Arial"/>
          <w:sz w:val="20"/>
        </w:rPr>
        <w:t>: Most collection is performed by nursing service or the physician. If lab personnel is involved in collection, the following guidelines may be used.</w:t>
      </w:r>
    </w:p>
    <w:p w:rsidR="00BA380E" w:rsidRDefault="00BA380E">
      <w:pPr>
        <w:numPr>
          <w:ilvl w:val="1"/>
          <w:numId w:val="3"/>
        </w:numPr>
        <w:rPr>
          <w:rFonts w:ascii="Arial" w:hAnsi="Arial"/>
          <w:sz w:val="20"/>
        </w:rPr>
      </w:pPr>
      <w:r>
        <w:rPr>
          <w:rFonts w:ascii="Arial" w:hAnsi="Arial"/>
          <w:i/>
          <w:sz w:val="20"/>
        </w:rPr>
        <w:t>Skin &amp;/or Nails</w:t>
      </w:r>
    </w:p>
    <w:p w:rsidR="00BA380E" w:rsidRDefault="00BA380E">
      <w:pPr>
        <w:numPr>
          <w:ilvl w:val="2"/>
          <w:numId w:val="3"/>
        </w:numPr>
        <w:rPr>
          <w:rFonts w:ascii="Arial" w:hAnsi="Arial"/>
          <w:sz w:val="20"/>
        </w:rPr>
      </w:pPr>
      <w:r>
        <w:rPr>
          <w:rFonts w:ascii="Arial" w:hAnsi="Arial"/>
          <w:sz w:val="20"/>
        </w:rPr>
        <w:t>Wash infected area with 70% isopropanol.</w:t>
      </w:r>
    </w:p>
    <w:p w:rsidR="00BA380E" w:rsidRDefault="00BA380E">
      <w:pPr>
        <w:numPr>
          <w:ilvl w:val="2"/>
          <w:numId w:val="3"/>
        </w:numPr>
        <w:rPr>
          <w:rFonts w:ascii="Arial" w:hAnsi="Arial"/>
          <w:sz w:val="20"/>
        </w:rPr>
      </w:pPr>
      <w:r>
        <w:rPr>
          <w:rFonts w:ascii="Arial" w:hAnsi="Arial"/>
          <w:sz w:val="20"/>
        </w:rPr>
        <w:t>After drying, scrape the lesion with a sterile scalpel blade and place the material in a sterile petri dish, a slide, or directly onto the media.</w:t>
      </w:r>
    </w:p>
    <w:p w:rsidR="00BA380E" w:rsidRDefault="00BA380E">
      <w:pPr>
        <w:numPr>
          <w:ilvl w:val="1"/>
          <w:numId w:val="3"/>
        </w:numPr>
        <w:rPr>
          <w:rFonts w:ascii="Arial" w:hAnsi="Arial"/>
          <w:b/>
          <w:i/>
          <w:sz w:val="20"/>
        </w:rPr>
      </w:pPr>
      <w:r>
        <w:rPr>
          <w:rFonts w:ascii="Arial" w:hAnsi="Arial"/>
          <w:i/>
          <w:sz w:val="20"/>
        </w:rPr>
        <w:t>Hair</w:t>
      </w:r>
    </w:p>
    <w:p w:rsidR="00BA380E" w:rsidRDefault="00BA380E">
      <w:pPr>
        <w:numPr>
          <w:ilvl w:val="2"/>
          <w:numId w:val="3"/>
        </w:numPr>
        <w:rPr>
          <w:rFonts w:ascii="Arial" w:hAnsi="Arial"/>
          <w:sz w:val="20"/>
        </w:rPr>
      </w:pPr>
      <w:r>
        <w:rPr>
          <w:rFonts w:ascii="Arial" w:hAnsi="Arial"/>
          <w:sz w:val="20"/>
        </w:rPr>
        <w:t>A sample of the infected area should be clipped or plucked.</w:t>
      </w:r>
    </w:p>
    <w:p w:rsidR="00BA380E" w:rsidRDefault="00BA380E">
      <w:pPr>
        <w:numPr>
          <w:ilvl w:val="2"/>
          <w:numId w:val="3"/>
        </w:numPr>
        <w:rPr>
          <w:rFonts w:ascii="Arial" w:hAnsi="Arial"/>
          <w:sz w:val="20"/>
        </w:rPr>
      </w:pPr>
      <w:r>
        <w:rPr>
          <w:rFonts w:ascii="Arial" w:hAnsi="Arial"/>
          <w:sz w:val="20"/>
        </w:rPr>
        <w:t>Place in a sterile petri dish or other container and transport to lab.</w:t>
      </w:r>
    </w:p>
    <w:p w:rsidR="00BA380E" w:rsidRDefault="00BA380E">
      <w:pPr>
        <w:numPr>
          <w:ilvl w:val="1"/>
          <w:numId w:val="3"/>
        </w:numPr>
        <w:rPr>
          <w:rFonts w:ascii="Arial" w:hAnsi="Arial"/>
          <w:sz w:val="20"/>
        </w:rPr>
      </w:pPr>
      <w:r>
        <w:rPr>
          <w:rFonts w:ascii="Arial" w:hAnsi="Arial"/>
          <w:i/>
          <w:sz w:val="20"/>
        </w:rPr>
        <w:t>Subcutaneous mycoses</w:t>
      </w:r>
      <w:r>
        <w:rPr>
          <w:rFonts w:ascii="Arial" w:hAnsi="Arial"/>
          <w:sz w:val="20"/>
        </w:rPr>
        <w:t xml:space="preserve"> specimens (includes pus, exudate, and tissue samples) are usually collected by physician or nursing staff and transported to lab in sterile containers or culturettes.</w:t>
      </w:r>
    </w:p>
    <w:p w:rsidR="00BA380E" w:rsidRDefault="00BA380E">
      <w:pPr>
        <w:numPr>
          <w:ilvl w:val="1"/>
          <w:numId w:val="3"/>
        </w:numPr>
        <w:rPr>
          <w:rFonts w:ascii="Arial" w:hAnsi="Arial"/>
          <w:sz w:val="20"/>
        </w:rPr>
      </w:pPr>
      <w:r>
        <w:rPr>
          <w:rFonts w:ascii="Arial" w:hAnsi="Arial"/>
          <w:i/>
          <w:sz w:val="20"/>
        </w:rPr>
        <w:t>Systemic mycoses</w:t>
      </w:r>
      <w:r>
        <w:rPr>
          <w:rFonts w:ascii="Arial" w:hAnsi="Arial"/>
          <w:sz w:val="20"/>
        </w:rPr>
        <w:t xml:space="preserve"> specimens (includes blood, csf, sputum, bone marrow &amp; tissue) are collected by physician or nursing staff with the exception of the blood cultures, and transported to the lab in sterile containers.</w:t>
      </w:r>
    </w:p>
    <w:p w:rsidR="00BA380E" w:rsidRDefault="00BA380E">
      <w:pPr>
        <w:numPr>
          <w:ilvl w:val="0"/>
          <w:numId w:val="3"/>
        </w:numPr>
        <w:rPr>
          <w:rFonts w:ascii="Arial" w:hAnsi="Arial"/>
          <w:sz w:val="20"/>
        </w:rPr>
      </w:pPr>
      <w:r>
        <w:rPr>
          <w:rFonts w:ascii="Arial" w:hAnsi="Arial"/>
          <w:b/>
          <w:i/>
          <w:sz w:val="20"/>
        </w:rPr>
        <w:t>Processing</w:t>
      </w:r>
    </w:p>
    <w:p w:rsidR="00BA380E" w:rsidRDefault="00BA380E">
      <w:pPr>
        <w:numPr>
          <w:ilvl w:val="1"/>
          <w:numId w:val="3"/>
        </w:numPr>
        <w:rPr>
          <w:rFonts w:ascii="Arial" w:hAnsi="Arial"/>
          <w:sz w:val="20"/>
        </w:rPr>
      </w:pPr>
      <w:r>
        <w:rPr>
          <w:rFonts w:ascii="Arial" w:hAnsi="Arial"/>
          <w:sz w:val="20"/>
        </w:rPr>
        <w:t>All specimens for fungal culture are to be logged in the laboratory information computer system and assigned an accession number. Once the specimen is in microbiology, it is given a mycology number which is an “M” placed in front of the accession number. (i.e. M123456) Also place a mycology 2” x 4” label on the requisition (see example at end of procedure) to aid in reading cultures.</w:t>
      </w:r>
    </w:p>
    <w:p w:rsidR="00BA380E" w:rsidRDefault="00BA380E">
      <w:pPr>
        <w:numPr>
          <w:ilvl w:val="1"/>
          <w:numId w:val="3"/>
        </w:numPr>
        <w:rPr>
          <w:rFonts w:ascii="Arial" w:hAnsi="Arial"/>
          <w:sz w:val="20"/>
        </w:rPr>
      </w:pPr>
      <w:r>
        <w:rPr>
          <w:rFonts w:ascii="Arial" w:hAnsi="Arial"/>
          <w:sz w:val="20"/>
        </w:rPr>
        <w:t>If a routine culture is also ordered, use the mycology number and the regular accession number for the routine culture.</w:t>
      </w:r>
    </w:p>
    <w:p w:rsidR="00BA380E" w:rsidRDefault="00BA380E">
      <w:pPr>
        <w:numPr>
          <w:ilvl w:val="1"/>
          <w:numId w:val="3"/>
        </w:numPr>
        <w:rPr>
          <w:rFonts w:ascii="Arial" w:hAnsi="Arial"/>
          <w:sz w:val="20"/>
        </w:rPr>
      </w:pPr>
      <w:r>
        <w:rPr>
          <w:rFonts w:ascii="Arial" w:hAnsi="Arial"/>
          <w:sz w:val="20"/>
        </w:rPr>
        <w:t>Centrifuge all nonviscous fluid specimens when possible and culture the sediment. Use the centrifuge in Specimen Reception and centrifuge for 10 minutes.</w:t>
      </w:r>
    </w:p>
    <w:p w:rsidR="00BA380E" w:rsidRDefault="00BA380E">
      <w:pPr>
        <w:numPr>
          <w:ilvl w:val="1"/>
          <w:numId w:val="3"/>
        </w:numPr>
        <w:rPr>
          <w:rFonts w:ascii="Arial" w:hAnsi="Arial"/>
          <w:sz w:val="20"/>
        </w:rPr>
      </w:pPr>
      <w:r>
        <w:rPr>
          <w:rFonts w:ascii="Arial" w:hAnsi="Arial"/>
          <w:sz w:val="20"/>
        </w:rPr>
        <w:t>If clot or membranous material is present in body fluids, mince it using sterile scalpels and combine with the centrifuged sediment. If necessary, fluids that are too dense for adequate centrifugation may be thinned with sterile distilled water prior to centrifugation.</w:t>
      </w:r>
    </w:p>
    <w:p w:rsidR="00BA380E" w:rsidRDefault="00BA380E">
      <w:pPr>
        <w:numPr>
          <w:ilvl w:val="1"/>
          <w:numId w:val="3"/>
        </w:numPr>
        <w:rPr>
          <w:rFonts w:ascii="Arial" w:hAnsi="Arial"/>
          <w:sz w:val="20"/>
        </w:rPr>
      </w:pPr>
      <w:r>
        <w:rPr>
          <w:rFonts w:ascii="Arial" w:hAnsi="Arial"/>
          <w:sz w:val="20"/>
        </w:rPr>
        <w:t>Blood cultures are collected and processed as noted in the blood culture procedure.</w:t>
      </w:r>
    </w:p>
    <w:p w:rsidR="00BA380E" w:rsidRDefault="00BA380E">
      <w:pPr>
        <w:numPr>
          <w:ilvl w:val="1"/>
          <w:numId w:val="3"/>
        </w:numPr>
        <w:rPr>
          <w:rFonts w:ascii="Arial" w:hAnsi="Arial"/>
          <w:sz w:val="20"/>
        </w:rPr>
      </w:pPr>
      <w:r>
        <w:rPr>
          <w:rFonts w:ascii="Arial" w:hAnsi="Arial"/>
          <w:sz w:val="20"/>
        </w:rPr>
        <w:t>Fungal cultures are examined every Monday, Wednesday, and Friday. Whenever cultures are examined, date and initial the log sheet. Issue reports at two weeks and 4 weeks.</w:t>
      </w:r>
    </w:p>
    <w:p w:rsidR="00BA380E" w:rsidRDefault="00BA380E">
      <w:pPr>
        <w:numPr>
          <w:ilvl w:val="0"/>
          <w:numId w:val="3"/>
        </w:numPr>
        <w:rPr>
          <w:rFonts w:ascii="Arial" w:hAnsi="Arial"/>
          <w:sz w:val="20"/>
        </w:rPr>
      </w:pPr>
      <w:r>
        <w:rPr>
          <w:rFonts w:ascii="Arial" w:hAnsi="Arial"/>
          <w:b/>
          <w:i/>
          <w:sz w:val="20"/>
        </w:rPr>
        <w:t>Direct Smears</w:t>
      </w:r>
    </w:p>
    <w:p w:rsidR="00BA380E" w:rsidRDefault="00BA380E">
      <w:pPr>
        <w:numPr>
          <w:ilvl w:val="1"/>
          <w:numId w:val="3"/>
        </w:numPr>
        <w:rPr>
          <w:rFonts w:ascii="Arial" w:hAnsi="Arial"/>
          <w:sz w:val="20"/>
        </w:rPr>
      </w:pPr>
      <w:r>
        <w:rPr>
          <w:rFonts w:ascii="Arial" w:hAnsi="Arial"/>
          <w:sz w:val="20"/>
        </w:rPr>
        <w:t>Direct smears should be performed on al specimens except blood and bone marrow if at all possible.</w:t>
      </w:r>
    </w:p>
    <w:p w:rsidR="00BA380E" w:rsidRDefault="00BA380E">
      <w:pPr>
        <w:numPr>
          <w:ilvl w:val="1"/>
          <w:numId w:val="3"/>
        </w:numPr>
        <w:rPr>
          <w:rFonts w:ascii="Arial" w:hAnsi="Arial"/>
          <w:sz w:val="20"/>
        </w:rPr>
      </w:pPr>
      <w:r>
        <w:rPr>
          <w:rFonts w:ascii="Arial" w:hAnsi="Arial"/>
          <w:sz w:val="20"/>
        </w:rPr>
        <w:lastRenderedPageBreak/>
        <w:t xml:space="preserve">Examination may be completed by any of the following methods: Unstained wet mound with or without KOH, or India Ink (on CSF specimens). Gram stains may also be used, but they are the least desirable type of stain for fungal elements. The Wright stain may be used when examining specimens for </w:t>
      </w:r>
      <w:r>
        <w:rPr>
          <w:rFonts w:ascii="Arial" w:hAnsi="Arial"/>
          <w:i/>
          <w:sz w:val="20"/>
        </w:rPr>
        <w:t>Histoplasma</w:t>
      </w:r>
      <w:r>
        <w:rPr>
          <w:rFonts w:ascii="Arial" w:hAnsi="Arial"/>
          <w:sz w:val="20"/>
        </w:rPr>
        <w:t xml:space="preserve"> spp.</w:t>
      </w:r>
    </w:p>
    <w:p w:rsidR="00BA380E" w:rsidRDefault="00BA380E">
      <w:pPr>
        <w:numPr>
          <w:ilvl w:val="0"/>
          <w:numId w:val="3"/>
        </w:numPr>
        <w:rPr>
          <w:rFonts w:ascii="Arial" w:hAnsi="Arial"/>
          <w:sz w:val="20"/>
        </w:rPr>
      </w:pPr>
      <w:r>
        <w:rPr>
          <w:rFonts w:ascii="Arial" w:hAnsi="Arial"/>
          <w:b/>
          <w:i/>
          <w:sz w:val="20"/>
        </w:rPr>
        <w:t>Inoculation and Incubation</w:t>
      </w:r>
    </w:p>
    <w:p w:rsidR="00BA380E" w:rsidRDefault="00BA380E">
      <w:pPr>
        <w:numPr>
          <w:ilvl w:val="1"/>
          <w:numId w:val="3"/>
        </w:numPr>
        <w:rPr>
          <w:rFonts w:ascii="Arial" w:hAnsi="Arial"/>
          <w:sz w:val="20"/>
        </w:rPr>
      </w:pPr>
      <w:r>
        <w:rPr>
          <w:rFonts w:ascii="Arial" w:hAnsi="Arial"/>
          <w:sz w:val="20"/>
        </w:rPr>
        <w:t>As noted above, centrifuge fluids when possible.</w:t>
      </w:r>
    </w:p>
    <w:p w:rsidR="00BA380E" w:rsidRDefault="00BA380E">
      <w:pPr>
        <w:numPr>
          <w:ilvl w:val="1"/>
          <w:numId w:val="3"/>
        </w:numPr>
        <w:rPr>
          <w:rFonts w:ascii="Arial" w:hAnsi="Arial"/>
          <w:sz w:val="20"/>
        </w:rPr>
      </w:pPr>
      <w:r>
        <w:rPr>
          <w:rFonts w:ascii="Arial" w:hAnsi="Arial"/>
          <w:sz w:val="20"/>
        </w:rPr>
        <w:t>Inoculate the following media: Sabourad’s Dextrose or SABHI agar and BHI with 10% sheep blood and antibiotics. Also inoculate mycosel agar if skin, hair or nails are submitted or dematophytes are suspected.</w:t>
      </w:r>
    </w:p>
    <w:p w:rsidR="00BA380E" w:rsidRDefault="00BA380E">
      <w:pPr>
        <w:numPr>
          <w:ilvl w:val="1"/>
          <w:numId w:val="3"/>
        </w:numPr>
        <w:rPr>
          <w:rFonts w:ascii="Arial" w:hAnsi="Arial"/>
          <w:sz w:val="20"/>
        </w:rPr>
      </w:pPr>
      <w:r>
        <w:rPr>
          <w:rFonts w:ascii="Arial" w:hAnsi="Arial"/>
          <w:sz w:val="20"/>
        </w:rPr>
        <w:t>Since fungal elements are generally in smaller numbers than bacterial elements in an infection, it is important to culture a sufficient amount of fluid. Generally speaking, 1-2 ml of fluid should be divided up on the plates.</w:t>
      </w:r>
    </w:p>
    <w:p w:rsidR="00BA380E" w:rsidRDefault="00BA380E">
      <w:pPr>
        <w:numPr>
          <w:ilvl w:val="1"/>
          <w:numId w:val="3"/>
        </w:numPr>
        <w:rPr>
          <w:rFonts w:ascii="Arial" w:hAnsi="Arial"/>
          <w:sz w:val="20"/>
        </w:rPr>
      </w:pPr>
      <w:r>
        <w:rPr>
          <w:rFonts w:ascii="Arial" w:hAnsi="Arial"/>
          <w:sz w:val="20"/>
        </w:rPr>
        <w:t xml:space="preserve">Seal the plates with shrink seals that are in the large bacti refrigerator. Place the seals around the plates and then place the plates in the 35°C incubator until the seals have shrunk. Alternatively, masking tape may be used. If flasks or tubes are used, be sure and leave the screw caps slightly loose. Do not close tight! </w:t>
      </w:r>
    </w:p>
    <w:p w:rsidR="00BA380E" w:rsidRDefault="00BA380E">
      <w:pPr>
        <w:numPr>
          <w:ilvl w:val="1"/>
          <w:numId w:val="3"/>
        </w:numPr>
        <w:rPr>
          <w:rFonts w:ascii="Arial" w:hAnsi="Arial"/>
          <w:sz w:val="20"/>
        </w:rPr>
      </w:pPr>
      <w:r>
        <w:rPr>
          <w:rFonts w:ascii="Arial" w:hAnsi="Arial"/>
          <w:sz w:val="20"/>
        </w:rPr>
        <w:t>Incubate approximately 30 days (12 readings) at 30°C.</w:t>
      </w:r>
    </w:p>
    <w:p w:rsidR="00BA380E" w:rsidRDefault="00BA380E">
      <w:pPr>
        <w:numPr>
          <w:ilvl w:val="0"/>
          <w:numId w:val="3"/>
        </w:numPr>
        <w:rPr>
          <w:rFonts w:ascii="Arial" w:hAnsi="Arial"/>
          <w:sz w:val="20"/>
        </w:rPr>
      </w:pPr>
      <w:r>
        <w:rPr>
          <w:rFonts w:ascii="Arial" w:hAnsi="Arial"/>
          <w:b/>
          <w:i/>
          <w:sz w:val="20"/>
        </w:rPr>
        <w:t>Examination</w:t>
      </w:r>
    </w:p>
    <w:p w:rsidR="00BA380E" w:rsidRDefault="00BA380E">
      <w:pPr>
        <w:numPr>
          <w:ilvl w:val="1"/>
          <w:numId w:val="3"/>
        </w:numPr>
        <w:rPr>
          <w:rFonts w:ascii="Arial" w:hAnsi="Arial"/>
          <w:sz w:val="20"/>
        </w:rPr>
      </w:pPr>
      <w:r>
        <w:rPr>
          <w:rFonts w:ascii="Arial" w:hAnsi="Arial"/>
          <w:sz w:val="20"/>
        </w:rPr>
        <w:t>Examine the plates every Monday, Wednesday &amp; Friday.</w:t>
      </w:r>
    </w:p>
    <w:p w:rsidR="00BA380E" w:rsidRDefault="00BA380E">
      <w:pPr>
        <w:numPr>
          <w:ilvl w:val="1"/>
          <w:numId w:val="3"/>
        </w:numPr>
        <w:rPr>
          <w:rFonts w:ascii="Arial" w:hAnsi="Arial"/>
          <w:sz w:val="20"/>
        </w:rPr>
      </w:pPr>
      <w:r>
        <w:rPr>
          <w:rFonts w:ascii="Arial" w:hAnsi="Arial"/>
          <w:sz w:val="20"/>
        </w:rPr>
        <w:t xml:space="preserve">If there is mold present, examine a specimen stained with lactophenol cotton blue. The fungi may be identified with the aide of reference materials. If it is not an </w:t>
      </w:r>
      <w:r>
        <w:rPr>
          <w:rFonts w:ascii="Arial" w:hAnsi="Arial"/>
          <w:i/>
          <w:sz w:val="20"/>
        </w:rPr>
        <w:t>Aspergillus</w:t>
      </w:r>
      <w:r>
        <w:rPr>
          <w:rFonts w:ascii="Arial" w:hAnsi="Arial"/>
          <w:sz w:val="20"/>
        </w:rPr>
        <w:t xml:space="preserve"> sp. or </w:t>
      </w:r>
      <w:r>
        <w:rPr>
          <w:rFonts w:ascii="Arial" w:hAnsi="Arial"/>
          <w:i/>
          <w:sz w:val="20"/>
        </w:rPr>
        <w:t>Penicillium</w:t>
      </w:r>
      <w:r>
        <w:rPr>
          <w:rFonts w:ascii="Arial" w:hAnsi="Arial"/>
          <w:sz w:val="20"/>
        </w:rPr>
        <w:t xml:space="preserve"> sp. or there is doubt as to the identification, refer the specimen to a reference laboratory. All isolates of </w:t>
      </w:r>
      <w:r>
        <w:rPr>
          <w:rFonts w:ascii="Arial" w:hAnsi="Arial"/>
          <w:i/>
          <w:sz w:val="20"/>
        </w:rPr>
        <w:t>Aspergillus</w:t>
      </w:r>
      <w:r>
        <w:rPr>
          <w:rFonts w:ascii="Arial" w:hAnsi="Arial"/>
          <w:sz w:val="20"/>
        </w:rPr>
        <w:t xml:space="preserve"> or </w:t>
      </w:r>
      <w:r>
        <w:rPr>
          <w:rFonts w:ascii="Arial" w:hAnsi="Arial"/>
          <w:i/>
          <w:sz w:val="20"/>
        </w:rPr>
        <w:t>Penicillium</w:t>
      </w:r>
      <w:r>
        <w:rPr>
          <w:rFonts w:ascii="Arial" w:hAnsi="Arial"/>
          <w:sz w:val="20"/>
        </w:rPr>
        <w:t xml:space="preserve"> should be referred to the section tech for final identification approval.</w:t>
      </w:r>
    </w:p>
    <w:p w:rsidR="00BA380E" w:rsidRDefault="00BA380E">
      <w:pPr>
        <w:numPr>
          <w:ilvl w:val="1"/>
          <w:numId w:val="3"/>
        </w:numPr>
        <w:rPr>
          <w:rFonts w:ascii="Arial" w:hAnsi="Arial"/>
          <w:sz w:val="20"/>
        </w:rPr>
      </w:pPr>
      <w:r>
        <w:rPr>
          <w:rFonts w:ascii="Arial" w:hAnsi="Arial"/>
          <w:sz w:val="20"/>
        </w:rPr>
        <w:t>Yeast like colonies need to be confirmed as yeast.</w:t>
      </w:r>
    </w:p>
    <w:p w:rsidR="00BA380E" w:rsidRDefault="00BA380E">
      <w:pPr>
        <w:numPr>
          <w:ilvl w:val="2"/>
          <w:numId w:val="3"/>
        </w:numPr>
        <w:rPr>
          <w:rFonts w:ascii="Arial" w:hAnsi="Arial"/>
          <w:sz w:val="20"/>
        </w:rPr>
      </w:pPr>
      <w:r>
        <w:rPr>
          <w:rFonts w:ascii="Arial" w:hAnsi="Arial"/>
          <w:sz w:val="20"/>
        </w:rPr>
        <w:t xml:space="preserve">If yeast, run a </w:t>
      </w:r>
      <w:r>
        <w:rPr>
          <w:rFonts w:ascii="Arial" w:hAnsi="Arial"/>
          <w:i/>
          <w:sz w:val="20"/>
        </w:rPr>
        <w:t>C. albicans</w:t>
      </w:r>
      <w:r>
        <w:rPr>
          <w:rFonts w:ascii="Arial" w:hAnsi="Arial"/>
          <w:sz w:val="20"/>
        </w:rPr>
        <w:t xml:space="preserve"> disk screen (1008.118) or germ tube test on isolate (1008.122).</w:t>
      </w:r>
    </w:p>
    <w:p w:rsidR="00BA380E" w:rsidRDefault="00BA380E">
      <w:pPr>
        <w:numPr>
          <w:ilvl w:val="2"/>
          <w:numId w:val="3"/>
        </w:numPr>
        <w:rPr>
          <w:rFonts w:ascii="Arial" w:hAnsi="Arial"/>
          <w:sz w:val="20"/>
        </w:rPr>
      </w:pPr>
      <w:r>
        <w:rPr>
          <w:rFonts w:ascii="Arial" w:hAnsi="Arial"/>
          <w:sz w:val="20"/>
        </w:rPr>
        <w:t>If above tests are positive, report as “</w:t>
      </w:r>
      <w:r>
        <w:rPr>
          <w:rFonts w:ascii="Arial" w:hAnsi="Arial"/>
          <w:i/>
          <w:sz w:val="20"/>
        </w:rPr>
        <w:t>Candida albicans</w:t>
      </w:r>
      <w:r>
        <w:rPr>
          <w:rFonts w:ascii="Arial" w:hAnsi="Arial"/>
          <w:sz w:val="20"/>
        </w:rPr>
        <w:t xml:space="preserve">.” If negative, report as “Yeast–not </w:t>
      </w:r>
      <w:r>
        <w:rPr>
          <w:rFonts w:ascii="Arial" w:hAnsi="Arial"/>
          <w:i/>
          <w:sz w:val="20"/>
        </w:rPr>
        <w:t>C. albicans</w:t>
      </w:r>
      <w:r>
        <w:rPr>
          <w:rFonts w:ascii="Arial" w:hAnsi="Arial"/>
          <w:sz w:val="20"/>
        </w:rPr>
        <w:t>.”</w:t>
      </w:r>
    </w:p>
    <w:p w:rsidR="00BA380E" w:rsidRDefault="00BA380E">
      <w:pPr>
        <w:numPr>
          <w:ilvl w:val="2"/>
          <w:numId w:val="3"/>
        </w:numPr>
        <w:rPr>
          <w:rFonts w:ascii="Arial" w:hAnsi="Arial"/>
          <w:sz w:val="20"/>
        </w:rPr>
      </w:pPr>
      <w:r>
        <w:rPr>
          <w:rFonts w:ascii="Arial" w:hAnsi="Arial"/>
          <w:sz w:val="20"/>
        </w:rPr>
        <w:t>If further identification is needed, the isolate should be set up using the API 20C strip by techs approved for the procedure. If not available, refer the isolate to a reference lab.</w:t>
      </w:r>
    </w:p>
    <w:p w:rsidR="00BA380E" w:rsidRDefault="00BA380E">
      <w:pPr>
        <w:numPr>
          <w:ilvl w:val="2"/>
          <w:numId w:val="3"/>
        </w:numPr>
        <w:rPr>
          <w:rFonts w:ascii="Arial" w:hAnsi="Arial"/>
          <w:sz w:val="20"/>
        </w:rPr>
      </w:pPr>
      <w:r>
        <w:rPr>
          <w:rFonts w:ascii="Arial" w:hAnsi="Arial"/>
          <w:sz w:val="20"/>
        </w:rPr>
        <w:t xml:space="preserve">Yeasts that generally need full identification beyond </w:t>
      </w:r>
      <w:r>
        <w:rPr>
          <w:rFonts w:ascii="Arial" w:hAnsi="Arial"/>
          <w:i/>
          <w:sz w:val="20"/>
        </w:rPr>
        <w:t>C. albicans</w:t>
      </w:r>
      <w:r>
        <w:rPr>
          <w:rFonts w:ascii="Arial" w:hAnsi="Arial"/>
          <w:sz w:val="20"/>
        </w:rPr>
        <w:t xml:space="preserve"> are those isolates origination from blood &amp; CSF specimens or when there is a physician request. Check with section technologist or pathologist when in question as to extent of workup.</w:t>
      </w:r>
    </w:p>
    <w:p w:rsidR="00BA380E" w:rsidRDefault="00BA380E"/>
    <w:p w:rsidR="00BA380E" w:rsidRDefault="00BA380E">
      <w:pPr>
        <w:rPr>
          <w:rFonts w:ascii="Arial" w:hAnsi="Arial"/>
          <w:sz w:val="20"/>
        </w:rPr>
      </w:pPr>
      <w:r>
        <w:rPr>
          <w:rFonts w:ascii="Arial" w:hAnsi="Arial"/>
          <w:b/>
          <w:sz w:val="20"/>
          <w:u w:val="single"/>
        </w:rPr>
        <w:t>Calculations</w:t>
      </w:r>
      <w:r>
        <w:rPr>
          <w:rFonts w:ascii="Arial" w:hAnsi="Arial"/>
          <w:sz w:val="20"/>
        </w:rPr>
        <w:t>: Not applicable</w:t>
      </w:r>
    </w:p>
    <w:p w:rsidR="00BA380E" w:rsidRDefault="00BA380E">
      <w:pPr>
        <w:rPr>
          <w:rFonts w:ascii="Arial" w:hAnsi="Arial"/>
          <w:sz w:val="20"/>
        </w:rPr>
      </w:pPr>
    </w:p>
    <w:p w:rsidR="00BA380E" w:rsidRDefault="00BA380E">
      <w:pPr>
        <w:rPr>
          <w:rFonts w:ascii="Arial" w:hAnsi="Arial"/>
          <w:sz w:val="20"/>
        </w:rPr>
      </w:pPr>
      <w:r>
        <w:rPr>
          <w:rFonts w:ascii="Arial" w:hAnsi="Arial"/>
          <w:b/>
          <w:sz w:val="20"/>
          <w:u w:val="single"/>
        </w:rPr>
        <w:t>Reporting Results</w:t>
      </w:r>
      <w:r>
        <w:rPr>
          <w:rFonts w:ascii="Arial" w:hAnsi="Arial"/>
          <w:sz w:val="20"/>
        </w:rPr>
        <w:t>: Results are reported using the microbiology computer system</w:t>
      </w:r>
    </w:p>
    <w:p w:rsidR="00BA380E" w:rsidRDefault="00BA380E">
      <w:pPr>
        <w:rPr>
          <w:rFonts w:ascii="Arial" w:hAnsi="Arial"/>
          <w:sz w:val="20"/>
        </w:rPr>
      </w:pPr>
    </w:p>
    <w:p w:rsidR="00BA380E" w:rsidRDefault="00BA380E">
      <w:pPr>
        <w:rPr>
          <w:rFonts w:ascii="Arial" w:hAnsi="Arial"/>
          <w:sz w:val="20"/>
        </w:rPr>
      </w:pPr>
      <w:r>
        <w:rPr>
          <w:rFonts w:ascii="Arial" w:hAnsi="Arial"/>
          <w:b/>
          <w:sz w:val="20"/>
          <w:u w:val="single"/>
        </w:rPr>
        <w:t>Medical Alert Values</w:t>
      </w:r>
      <w:r>
        <w:rPr>
          <w:rFonts w:ascii="Arial" w:hAnsi="Arial"/>
          <w:sz w:val="20"/>
        </w:rPr>
        <w:t xml:space="preserve">: Isolates from blood and CSF are considered “Panic Values” and need to be referred to the physician. </w:t>
      </w:r>
    </w:p>
    <w:p w:rsidR="00BA380E" w:rsidRDefault="00BA380E">
      <w:pPr>
        <w:rPr>
          <w:rFonts w:ascii="Arial" w:hAnsi="Arial"/>
          <w:sz w:val="20"/>
        </w:rPr>
        <w:sectPr w:rsidR="00BA380E">
          <w:type w:val="continuous"/>
          <w:pgSz w:w="12240" w:h="15840"/>
          <w:pgMar w:top="720" w:right="1080" w:bottom="720" w:left="1080" w:header="720" w:footer="965" w:gutter="0"/>
          <w:cols w:space="720"/>
          <w:formProt w:val="0"/>
        </w:sectPr>
      </w:pPr>
    </w:p>
    <w:p w:rsidR="00BA380E" w:rsidRDefault="00BA380E">
      <w:pPr>
        <w:rPr>
          <w:rFonts w:ascii="Arial" w:hAnsi="Arial"/>
          <w:sz w:val="20"/>
        </w:rPr>
      </w:pPr>
    </w:p>
    <w:p w:rsidR="00BA380E" w:rsidRDefault="00BA380E">
      <w:pPr>
        <w:rPr>
          <w:rFonts w:ascii="Arial" w:hAnsi="Arial"/>
          <w:sz w:val="20"/>
        </w:rPr>
      </w:pPr>
      <w:r>
        <w:rPr>
          <w:rFonts w:ascii="Arial" w:hAnsi="Arial"/>
          <w:b/>
          <w:sz w:val="20"/>
          <w:u w:val="single"/>
        </w:rPr>
        <w:t>Notes</w:t>
      </w:r>
      <w:r>
        <w:rPr>
          <w:rFonts w:ascii="Arial" w:hAnsi="Arial"/>
          <w:sz w:val="20"/>
        </w:rPr>
        <w:t>:</w:t>
      </w:r>
    </w:p>
    <w:p w:rsidR="00BA380E" w:rsidRDefault="00BA380E">
      <w:pPr>
        <w:rPr>
          <w:rFonts w:ascii="Arial" w:hAnsi="Arial"/>
          <w:sz w:val="20"/>
        </w:rPr>
      </w:pPr>
    </w:p>
    <w:p w:rsidR="00BA380E" w:rsidRDefault="00BA380E">
      <w:pPr>
        <w:numPr>
          <w:ilvl w:val="0"/>
          <w:numId w:val="4"/>
        </w:numPr>
      </w:pPr>
      <w:r>
        <w:rPr>
          <w:rFonts w:ascii="Arial" w:hAnsi="Arial"/>
          <w:b/>
          <w:i/>
          <w:sz w:val="20"/>
        </w:rPr>
        <w:t>Reference Ranges</w:t>
      </w:r>
      <w:r>
        <w:rPr>
          <w:rFonts w:ascii="Arial" w:hAnsi="Arial"/>
          <w:sz w:val="20"/>
        </w:rPr>
        <w:t xml:space="preserve">:  </w:t>
      </w:r>
      <w:r>
        <w:rPr>
          <w:rFonts w:ascii="Arial" w:hAnsi="Arial"/>
          <w:sz w:val="20"/>
        </w:rPr>
        <w:fldChar w:fldCharType="begin">
          <w:ffData>
            <w:name w:val="Text14"/>
            <w:enabled/>
            <w:calcOnExit w:val="0"/>
            <w:textInput/>
          </w:ffData>
        </w:fldChar>
      </w:r>
      <w:bookmarkStart w:id="9"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Not applicable</w:t>
      </w:r>
      <w:r>
        <w:rPr>
          <w:rFonts w:ascii="Arial" w:hAnsi="Arial"/>
          <w:sz w:val="20"/>
        </w:rPr>
        <w:fldChar w:fldCharType="end"/>
      </w:r>
      <w:bookmarkEnd w:id="9"/>
    </w:p>
    <w:p w:rsidR="00BA380E" w:rsidRDefault="00BA380E">
      <w:pPr>
        <w:numPr>
          <w:ilvl w:val="0"/>
          <w:numId w:val="4"/>
        </w:numPr>
      </w:pPr>
      <w:r>
        <w:rPr>
          <w:rFonts w:ascii="Arial" w:hAnsi="Arial"/>
          <w:b/>
          <w:i/>
          <w:sz w:val="20"/>
        </w:rPr>
        <w:t>Abnormal Results</w:t>
      </w:r>
      <w:r>
        <w:rPr>
          <w:rFonts w:ascii="Arial" w:hAnsi="Arial"/>
          <w:sz w:val="20"/>
        </w:rPr>
        <w:t xml:space="preserve">:  </w:t>
      </w:r>
      <w:r>
        <w:rPr>
          <w:rFonts w:ascii="Arial" w:hAnsi="Arial"/>
          <w:sz w:val="20"/>
        </w:rPr>
        <w:fldChar w:fldCharType="begin">
          <w:ffData>
            <w:name w:val="Text15"/>
            <w:enabled/>
            <w:calcOnExit w:val="0"/>
            <w:textInput/>
          </w:ffData>
        </w:fldChar>
      </w:r>
      <w:bookmarkStart w:id="10" w:name="Text1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Not applicable</w:t>
      </w:r>
      <w:r>
        <w:rPr>
          <w:rFonts w:ascii="Arial" w:hAnsi="Arial"/>
          <w:sz w:val="20"/>
        </w:rPr>
        <w:fldChar w:fldCharType="end"/>
      </w:r>
      <w:bookmarkEnd w:id="10"/>
    </w:p>
    <w:p w:rsidR="00BA380E" w:rsidRDefault="00BA380E">
      <w:pPr>
        <w:numPr>
          <w:ilvl w:val="0"/>
          <w:numId w:val="4"/>
        </w:numPr>
      </w:pPr>
      <w:r>
        <w:rPr>
          <w:rFonts w:ascii="Arial" w:hAnsi="Arial"/>
          <w:b/>
          <w:i/>
          <w:sz w:val="20"/>
        </w:rPr>
        <w:t>Reporting Format</w:t>
      </w:r>
      <w:r>
        <w:rPr>
          <w:rFonts w:ascii="Arial" w:hAnsi="Arial"/>
          <w:sz w:val="20"/>
        </w:rPr>
        <w:t xml:space="preserve">:  </w:t>
      </w:r>
      <w:r>
        <w:rPr>
          <w:rFonts w:ascii="Arial" w:hAnsi="Arial"/>
          <w:sz w:val="20"/>
        </w:rPr>
        <w:fldChar w:fldCharType="begin">
          <w:ffData>
            <w:name w:val="Text16"/>
            <w:enabled/>
            <w:calcOnExit w:val="0"/>
            <w:textInput/>
          </w:ffData>
        </w:fldChar>
      </w:r>
      <w:bookmarkStart w:id="11"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Results are reported using the microbiology computer system.</w:t>
      </w:r>
      <w:r>
        <w:rPr>
          <w:rFonts w:ascii="Arial" w:hAnsi="Arial"/>
          <w:sz w:val="20"/>
        </w:rPr>
        <w:fldChar w:fldCharType="end"/>
      </w:r>
      <w:bookmarkEnd w:id="11"/>
    </w:p>
    <w:p w:rsidR="00BA380E" w:rsidRDefault="00BA380E">
      <w:pPr>
        <w:rPr>
          <w:rFonts w:ascii="Arial" w:hAnsi="Arial"/>
          <w:sz w:val="20"/>
        </w:rPr>
        <w:sectPr w:rsidR="00BA380E">
          <w:type w:val="continuous"/>
          <w:pgSz w:w="12240" w:h="15840"/>
          <w:pgMar w:top="720" w:right="1080" w:bottom="720" w:left="1080" w:header="720" w:footer="965" w:gutter="0"/>
          <w:cols w:space="720"/>
        </w:sectPr>
      </w:pPr>
    </w:p>
    <w:p w:rsidR="00BA380E" w:rsidRDefault="00BA380E">
      <w:pPr>
        <w:rPr>
          <w:rFonts w:ascii="Arial" w:hAnsi="Arial"/>
          <w:sz w:val="20"/>
        </w:rPr>
      </w:pPr>
    </w:p>
    <w:p w:rsidR="00BA380E" w:rsidRDefault="00BA380E">
      <w:pPr>
        <w:rPr>
          <w:rFonts w:ascii="Arial" w:hAnsi="Arial"/>
          <w:sz w:val="20"/>
        </w:rPr>
      </w:pPr>
      <w:r>
        <w:rPr>
          <w:rFonts w:ascii="Arial" w:hAnsi="Arial"/>
          <w:b/>
          <w:sz w:val="20"/>
          <w:u w:val="single"/>
        </w:rPr>
        <w:t>Limitations</w:t>
      </w:r>
      <w:r>
        <w:rPr>
          <w:rFonts w:ascii="Arial" w:hAnsi="Arial"/>
          <w:sz w:val="20"/>
        </w:rPr>
        <w:t xml:space="preserve">: </w:t>
      </w:r>
    </w:p>
    <w:p w:rsidR="00BA380E" w:rsidRDefault="00BA380E">
      <w:pPr>
        <w:rPr>
          <w:rFonts w:ascii="Arial" w:hAnsi="Arial"/>
          <w:sz w:val="20"/>
        </w:rPr>
      </w:pPr>
      <w:r>
        <w:rPr>
          <w:rFonts w:ascii="Arial" w:hAnsi="Arial"/>
          <w:sz w:val="20"/>
        </w:rPr>
        <w:t xml:space="preserve">When </w:t>
      </w:r>
      <w:r>
        <w:rPr>
          <w:rFonts w:ascii="Arial" w:hAnsi="Arial"/>
          <w:i/>
          <w:sz w:val="20"/>
        </w:rPr>
        <w:t>Malasezia furfur</w:t>
      </w:r>
      <w:r>
        <w:rPr>
          <w:rFonts w:ascii="Arial" w:hAnsi="Arial"/>
          <w:sz w:val="20"/>
        </w:rPr>
        <w:t xml:space="preserve"> is suspected, three drops of preservative-free olive oil are to be added to a duplicate set of inoculated media.</w:t>
      </w:r>
    </w:p>
    <w:p w:rsidR="00BA380E" w:rsidRDefault="00BA380E">
      <w:pPr>
        <w:rPr>
          <w:rFonts w:ascii="Arial" w:hAnsi="Arial"/>
          <w:sz w:val="20"/>
        </w:rPr>
      </w:pPr>
      <w:r>
        <w:rPr>
          <w:rFonts w:ascii="Arial" w:hAnsi="Arial"/>
          <w:sz w:val="20"/>
        </w:rPr>
        <w:t>Any questions concerning setup &amp; reading of fungal cultures should be referred to the microbiology section technologist.</w:t>
      </w:r>
    </w:p>
    <w:p w:rsidR="00BA380E" w:rsidRDefault="00BA380E">
      <w:pPr>
        <w:rPr>
          <w:rFonts w:ascii="Arial" w:hAnsi="Arial"/>
          <w:sz w:val="20"/>
        </w:rPr>
      </w:pPr>
    </w:p>
    <w:p w:rsidR="00BA380E" w:rsidRDefault="00BA380E">
      <w:pPr>
        <w:rPr>
          <w:rFonts w:ascii="Arial" w:hAnsi="Arial"/>
          <w:sz w:val="20"/>
        </w:rPr>
      </w:pPr>
      <w:r>
        <w:rPr>
          <w:rFonts w:ascii="Arial" w:hAnsi="Arial"/>
          <w:b/>
          <w:sz w:val="20"/>
          <w:u w:val="single"/>
        </w:rPr>
        <w:t>References</w:t>
      </w:r>
      <w:r>
        <w:rPr>
          <w:rFonts w:ascii="Arial" w:hAnsi="Arial"/>
          <w:sz w:val="20"/>
        </w:rPr>
        <w:t xml:space="preserve">: </w:t>
      </w:r>
    </w:p>
    <w:p w:rsidR="00BA380E" w:rsidRDefault="00BA380E">
      <w:pPr>
        <w:numPr>
          <w:ilvl w:val="0"/>
          <w:numId w:val="5"/>
        </w:numPr>
      </w:pPr>
      <w:r>
        <w:rPr>
          <w:rFonts w:ascii="Arial" w:hAnsi="Arial"/>
          <w:sz w:val="20"/>
        </w:rPr>
        <w:t xml:space="preserve">Baron, EJ, LR Peterson, &amp; SM Finegold, </w:t>
      </w:r>
      <w:r>
        <w:rPr>
          <w:rFonts w:ascii="Arial" w:hAnsi="Arial"/>
          <w:i/>
          <w:sz w:val="20"/>
        </w:rPr>
        <w:t>Diagnostic Microbiology</w:t>
      </w:r>
      <w:r>
        <w:rPr>
          <w:rFonts w:ascii="Arial" w:hAnsi="Arial"/>
          <w:sz w:val="20"/>
        </w:rPr>
        <w:t>, 9th Ed., CV Mosby Co., St. Louis 1994.</w:t>
      </w:r>
    </w:p>
    <w:p w:rsidR="00BA380E" w:rsidRDefault="00BA380E">
      <w:pPr>
        <w:numPr>
          <w:ilvl w:val="0"/>
          <w:numId w:val="5"/>
        </w:numPr>
      </w:pPr>
      <w:r>
        <w:rPr>
          <w:rFonts w:ascii="Arial" w:hAnsi="Arial"/>
          <w:i/>
          <w:sz w:val="20"/>
        </w:rPr>
        <w:t>Manual of Clinical Microbiology</w:t>
      </w:r>
      <w:r>
        <w:rPr>
          <w:rFonts w:ascii="Arial" w:hAnsi="Arial"/>
          <w:sz w:val="20"/>
        </w:rPr>
        <w:t>, 5th Ed., ASM, Washington, DC  1991</w:t>
      </w:r>
    </w:p>
    <w:p w:rsidR="00BA380E" w:rsidRDefault="00BA380E">
      <w:pPr>
        <w:numPr>
          <w:ilvl w:val="0"/>
          <w:numId w:val="5"/>
        </w:numPr>
      </w:pPr>
      <w:r>
        <w:rPr>
          <w:rFonts w:ascii="Arial" w:hAnsi="Arial"/>
          <w:sz w:val="20"/>
        </w:rPr>
        <w:t xml:space="preserve">Koneman, EW et el, </w:t>
      </w:r>
      <w:r>
        <w:rPr>
          <w:rFonts w:ascii="Arial" w:hAnsi="Arial"/>
          <w:i/>
          <w:sz w:val="20"/>
        </w:rPr>
        <w:t>Practical Laboratory Mycology</w:t>
      </w:r>
      <w:r>
        <w:rPr>
          <w:rFonts w:ascii="Arial" w:hAnsi="Arial"/>
          <w:sz w:val="20"/>
        </w:rPr>
        <w:t>, 2nd Ed., Williams &amp; Wilkins, 1979.</w:t>
      </w:r>
    </w:p>
    <w:p w:rsidR="00BA380E" w:rsidRDefault="00BA380E">
      <w:pPr>
        <w:numPr>
          <w:ilvl w:val="0"/>
          <w:numId w:val="5"/>
        </w:numPr>
        <w:rPr>
          <w:rFonts w:ascii="Arial" w:hAnsi="Arial"/>
          <w:sz w:val="20"/>
        </w:rPr>
      </w:pPr>
      <w:r>
        <w:rPr>
          <w:rFonts w:ascii="Arial" w:hAnsi="Arial"/>
          <w:sz w:val="20"/>
        </w:rPr>
        <w:t xml:space="preserve">Larone, Davise H., </w:t>
      </w:r>
      <w:r>
        <w:rPr>
          <w:rFonts w:ascii="Arial" w:hAnsi="Arial"/>
          <w:i/>
          <w:sz w:val="20"/>
        </w:rPr>
        <w:t>Medically Important Fungi: A Guide to Identification</w:t>
      </w:r>
      <w:r>
        <w:rPr>
          <w:rFonts w:ascii="Arial" w:hAnsi="Arial"/>
          <w:sz w:val="20"/>
        </w:rPr>
        <w:t>, 2nd Ed., Elsevier Science Publishing Co., New York, NY 1987.</w:t>
      </w:r>
    </w:p>
    <w:p w:rsidR="00195452" w:rsidRDefault="00195452" w:rsidP="00195452">
      <w:pPr>
        <w:rPr>
          <w:rFonts w:ascii="Arial" w:hAnsi="Arial"/>
          <w:sz w:val="20"/>
        </w:rPr>
      </w:pPr>
    </w:p>
    <w:p w:rsidR="00195452" w:rsidRDefault="00195452" w:rsidP="00195452">
      <w:bookmarkStart w:id="12" w:name="OLE_LINK1"/>
      <w:r>
        <w:lastRenderedPageBreak/>
        <w:t>Contributor Lake Area Technical Institute, Watertown, SD</w:t>
      </w:r>
    </w:p>
    <w:p w:rsidR="00195452" w:rsidRDefault="00195452" w:rsidP="00195452"/>
    <w:p w:rsidR="00195452" w:rsidRDefault="00195452" w:rsidP="00195452">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94615</wp:posOffset>
            </wp:positionV>
            <wp:extent cx="841375" cy="298450"/>
            <wp:effectExtent l="0" t="0" r="0" b="635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Consortium for Healthcare Education Online project material by CHEO Project TAACCCT Round 2 is licensed under a </w:t>
      </w:r>
      <w:hyperlink r:id="rId9" w:history="1">
        <w:r>
          <w:rPr>
            <w:rStyle w:val="Hyperlink"/>
            <w:rFonts w:ascii="Arial" w:hAnsi="Arial" w:cs="Arial"/>
            <w:color w:val="000000"/>
            <w:sz w:val="16"/>
            <w:szCs w:val="16"/>
          </w:rPr>
          <w:t> </w:t>
        </w:r>
        <w:r>
          <w:rPr>
            <w:rStyle w:val="Hyperlink"/>
            <w:rFonts w:ascii="Arial" w:hAnsi="Arial" w:cs="Arial"/>
            <w:color w:val="1155CC"/>
            <w:sz w:val="16"/>
            <w:szCs w:val="16"/>
          </w:rPr>
          <w:t>Creative Commons Attribution 4.0 International License</w:t>
        </w:r>
      </w:hyperlink>
      <w:r>
        <w:rPr>
          <w:rStyle w:val="Hyperlink"/>
          <w:rFonts w:ascii="Arial" w:hAnsi="Arial" w:cs="Arial"/>
          <w:color w:val="1155CC"/>
          <w:sz w:val="16"/>
          <w:szCs w:val="16"/>
        </w:rPr>
        <w:t xml:space="preserve"> </w:t>
      </w:r>
      <w:r>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End w:id="12"/>
    </w:p>
    <w:p w:rsidR="00195452" w:rsidRDefault="00195452" w:rsidP="00195452">
      <w:pPr>
        <w:rPr>
          <w:rFonts w:ascii="Arial" w:hAnsi="Arial"/>
          <w:sz w:val="20"/>
        </w:rPr>
      </w:pPr>
      <w:bookmarkStart w:id="13" w:name="_GoBack"/>
      <w:bookmarkEnd w:id="13"/>
    </w:p>
    <w:sectPr w:rsidR="00195452">
      <w:type w:val="continuous"/>
      <w:pgSz w:w="12240" w:h="15840"/>
      <w:pgMar w:top="720" w:right="1080" w:bottom="720" w:left="1080" w:header="720" w:footer="96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02" w:rsidRDefault="00F35002">
      <w:r>
        <w:separator/>
      </w:r>
    </w:p>
  </w:endnote>
  <w:endnote w:type="continuationSeparator" w:id="0">
    <w:p w:rsidR="00F35002" w:rsidRDefault="00F3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02" w:rsidRDefault="00F35002">
      <w:r>
        <w:separator/>
      </w:r>
    </w:p>
  </w:footnote>
  <w:footnote w:type="continuationSeparator" w:id="0">
    <w:p w:rsidR="00F35002" w:rsidRDefault="00F35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0E" w:rsidRDefault="00195452">
    <w:pPr>
      <w:pStyle w:val="Header"/>
    </w:pPr>
    <w:r>
      <w:rPr>
        <w:noProof/>
      </w:rPr>
      <w:drawing>
        <wp:anchor distT="0" distB="0" distL="114300" distR="114300" simplePos="0" relativeHeight="251657728" behindDoc="1" locked="0" layoutInCell="1" allowOverlap="1">
          <wp:simplePos x="0" y="0"/>
          <wp:positionH relativeFrom="margin">
            <wp:posOffset>-3175</wp:posOffset>
          </wp:positionH>
          <wp:positionV relativeFrom="margin">
            <wp:posOffset>-793115</wp:posOffset>
          </wp:positionV>
          <wp:extent cx="749300" cy="749300"/>
          <wp:effectExtent l="0" t="0" r="0" b="0"/>
          <wp:wrapSquare wrapText="bothSides"/>
          <wp:docPr id="1" name="Picture 2" descr="Lake_Area_Technical_Institute_23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_Area_Technical_Institute_2303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80E" w:rsidRDefault="00BA380E">
    <w:pPr>
      <w:pStyle w:val="Header"/>
    </w:pPr>
  </w:p>
  <w:p w:rsidR="00BA380E" w:rsidRPr="00BA380E" w:rsidRDefault="00840F7E" w:rsidP="00840F7E">
    <w:pPr>
      <w:pStyle w:val="Header"/>
      <w:jc w:val="center"/>
      <w:rPr>
        <w:rFonts w:ascii="Calibri" w:hAnsi="Calibri"/>
        <w:sz w:val="32"/>
      </w:rPr>
    </w:pPr>
    <w:r w:rsidRPr="00BA380E">
      <w:rPr>
        <w:rFonts w:ascii="Calibri" w:hAnsi="Calibri"/>
        <w:b/>
      </w:rPr>
      <w:t>Sim Lab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CBA0F23"/>
    <w:multiLevelType w:val="singleLevel"/>
    <w:tmpl w:val="DBAE1D9A"/>
    <w:lvl w:ilvl="0">
      <w:start w:val="1"/>
      <w:numFmt w:val="decimal"/>
      <w:lvlText w:val="%1.0"/>
      <w:legacy w:legacy="1" w:legacySpace="0" w:legacyIndent="360"/>
      <w:lvlJc w:val="left"/>
      <w:pPr>
        <w:ind w:left="720" w:hanging="360"/>
      </w:pPr>
      <w:rPr>
        <w:rFonts w:ascii="Arial" w:hAnsi="Arial" w:hint="default"/>
        <w:b w:val="0"/>
        <w:i w:val="0"/>
        <w:sz w:val="20"/>
        <w:u w:val="none"/>
      </w:rPr>
    </w:lvl>
  </w:abstractNum>
  <w:abstractNum w:abstractNumId="2">
    <w:nsid w:val="358B6487"/>
    <w:multiLevelType w:val="multilevel"/>
    <w:tmpl w:val="9530E50C"/>
    <w:lvl w:ilvl="0">
      <w:start w:val="1"/>
      <w:numFmt w:val="decimal"/>
      <w:lvlText w:val="%1."/>
      <w:legacy w:legacy="1" w:legacySpace="0" w:legacyIndent="360"/>
      <w:lvlJc w:val="left"/>
      <w:pPr>
        <w:ind w:left="360" w:hanging="360"/>
      </w:pPr>
      <w:rPr>
        <w:rFonts w:ascii="Arial" w:hAnsi="Arial" w:hint="default"/>
        <w:b w:val="0"/>
        <w:i w:val="0"/>
        <w:sz w:val="20"/>
        <w:u w:val="none"/>
      </w:rPr>
    </w:lvl>
    <w:lvl w:ilvl="1">
      <w:start w:val="1"/>
      <w:numFmt w:val="lowerLetter"/>
      <w:lvlText w:val="%2."/>
      <w:legacy w:legacy="1" w:legacySpace="0" w:legacyIndent="360"/>
      <w:lvlJc w:val="left"/>
      <w:pPr>
        <w:ind w:left="720" w:hanging="360"/>
      </w:pPr>
      <w:rPr>
        <w:rFonts w:ascii="Arial" w:hAnsi="Arial" w:hint="default"/>
        <w:b w:val="0"/>
        <w:i w:val="0"/>
        <w:sz w:val="20"/>
        <w:u w:val="none"/>
      </w:rPr>
    </w:lvl>
    <w:lvl w:ilvl="2">
      <w:start w:val="1"/>
      <w:numFmt w:val="lowerRoman"/>
      <w:lvlText w:val="%3)"/>
      <w:legacy w:legacy="1" w:legacySpace="0" w:legacyIndent="360"/>
      <w:lvlJc w:val="left"/>
      <w:pPr>
        <w:ind w:left="1080" w:hanging="360"/>
      </w:pPr>
      <w:rPr>
        <w:rFonts w:ascii="Arial" w:hAnsi="Arial" w:hint="default"/>
        <w:b w:val="0"/>
        <w:i w:val="0"/>
        <w:sz w:val="20"/>
        <w:u w:val="none"/>
      </w:rPr>
    </w:lvl>
    <w:lvl w:ilvl="3">
      <w:start w:val="1"/>
      <w:numFmt w:val="lowerLetter"/>
      <w:lvlText w:val="%4)"/>
      <w:legacy w:legacy="1" w:legacySpace="0" w:legacyIndent="720"/>
      <w:lvlJc w:val="left"/>
      <w:pPr>
        <w:ind w:left="1800" w:hanging="720"/>
      </w:pPr>
    </w:lvl>
    <w:lvl w:ilvl="4">
      <w:start w:val="1"/>
      <w:numFmt w:val="decimal"/>
      <w:lvlText w:val="(%5)"/>
      <w:legacy w:legacy="1" w:legacySpace="0" w:legacyIndent="720"/>
      <w:lvlJc w:val="left"/>
      <w:pPr>
        <w:ind w:left="2520" w:hanging="720"/>
      </w:pPr>
    </w:lvl>
    <w:lvl w:ilvl="5">
      <w:start w:val="1"/>
      <w:numFmt w:val="lowerLetter"/>
      <w:lvlText w:val="(%6)"/>
      <w:legacy w:legacy="1" w:legacySpace="0" w:legacyIndent="720"/>
      <w:lvlJc w:val="left"/>
      <w:pPr>
        <w:ind w:left="3240" w:hanging="720"/>
      </w:pPr>
    </w:lvl>
    <w:lvl w:ilvl="6">
      <w:start w:val="1"/>
      <w:numFmt w:val="lowerRoman"/>
      <w:lvlText w:val="(%7)"/>
      <w:legacy w:legacy="1" w:legacySpace="0" w:legacyIndent="720"/>
      <w:lvlJc w:val="left"/>
      <w:pPr>
        <w:ind w:left="3960" w:hanging="720"/>
      </w:pPr>
    </w:lvl>
    <w:lvl w:ilvl="7">
      <w:start w:val="1"/>
      <w:numFmt w:val="lowerLetter"/>
      <w:lvlText w:val="(%8)"/>
      <w:legacy w:legacy="1" w:legacySpace="0" w:legacyIndent="720"/>
      <w:lvlJc w:val="left"/>
      <w:pPr>
        <w:ind w:left="4680" w:hanging="720"/>
      </w:pPr>
    </w:lvl>
    <w:lvl w:ilvl="8">
      <w:start w:val="1"/>
      <w:numFmt w:val="lowerRoman"/>
      <w:lvlText w:val="(%9)"/>
      <w:legacy w:legacy="1" w:legacySpace="0" w:legacyIndent="720"/>
      <w:lvlJc w:val="left"/>
      <w:pPr>
        <w:ind w:left="5400" w:hanging="720"/>
      </w:pPr>
    </w:lvl>
  </w:abstractNum>
  <w:abstractNum w:abstractNumId="3">
    <w:nsid w:val="49B4559F"/>
    <w:multiLevelType w:val="singleLevel"/>
    <w:tmpl w:val="DBAE1D9A"/>
    <w:lvl w:ilvl="0">
      <w:start w:val="1"/>
      <w:numFmt w:val="decimal"/>
      <w:lvlText w:val="%1.0"/>
      <w:legacy w:legacy="1" w:legacySpace="0" w:legacyIndent="360"/>
      <w:lvlJc w:val="left"/>
      <w:pPr>
        <w:ind w:left="720" w:hanging="360"/>
      </w:pPr>
      <w:rPr>
        <w:rFonts w:ascii="Arial" w:hAnsi="Arial" w:hint="default"/>
        <w:b w:val="0"/>
        <w:i w:val="0"/>
        <w:sz w:val="20"/>
        <w:u w:val="none"/>
      </w:rPr>
    </w:lvl>
  </w:abstractNum>
  <w:abstractNum w:abstractNumId="4">
    <w:nsid w:val="751905E3"/>
    <w:multiLevelType w:val="singleLevel"/>
    <w:tmpl w:val="DBAE1D9A"/>
    <w:lvl w:ilvl="0">
      <w:start w:val="1"/>
      <w:numFmt w:val="decimal"/>
      <w:lvlText w:val="%1.0"/>
      <w:legacy w:legacy="1" w:legacySpace="0" w:legacyIndent="360"/>
      <w:lvlJc w:val="left"/>
      <w:pPr>
        <w:ind w:left="720" w:hanging="360"/>
      </w:pPr>
      <w:rPr>
        <w:rFonts w:ascii="Arial" w:hAnsi="Arial" w:hint="default"/>
        <w:b w:val="0"/>
        <w:i w:val="0"/>
        <w:sz w:val="20"/>
        <w:u w:val="none"/>
      </w:rPr>
    </w:lvl>
  </w:abstractNum>
  <w:num w:numId="1">
    <w:abstractNumId w:val="1"/>
  </w:num>
  <w:num w:numId="2">
    <w:abstractNumId w:val="4"/>
  </w:num>
  <w:num w:numId="3">
    <w:abstractNumId w:val="2"/>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7E"/>
    <w:rsid w:val="00195452"/>
    <w:rsid w:val="00840F7E"/>
    <w:rsid w:val="00BA380E"/>
    <w:rsid w:val="00F3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523374-5657-42C7-8C47-E38792C7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semiHidden/>
    <w:unhideWhenUsed/>
    <w:rsid w:val="00195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NCCLQ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NCCLQUAL</Template>
  <TotalTime>1</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Prairie Lakes Hospital Laboratory</vt:lpstr>
    </vt:vector>
  </TitlesOfParts>
  <Company>PLHCC</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Lakes Hospital Laboratory</dc:title>
  <dc:subject/>
  <dc:creator>BACTI</dc:creator>
  <cp:keywords/>
  <cp:lastModifiedBy>Jacquie.Larson</cp:lastModifiedBy>
  <cp:revision>2</cp:revision>
  <cp:lastPrinted>1996-02-08T18:40:00Z</cp:lastPrinted>
  <dcterms:created xsi:type="dcterms:W3CDTF">2016-02-29T16:22:00Z</dcterms:created>
  <dcterms:modified xsi:type="dcterms:W3CDTF">2016-02-29T16:22:00Z</dcterms:modified>
</cp:coreProperties>
</file>