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24" w:rsidRPr="005653A4" w:rsidRDefault="00A97824" w:rsidP="000E03E3">
      <w:pPr>
        <w:jc w:val="center"/>
        <w:rPr>
          <w:rFonts w:asciiTheme="minorHAnsi" w:hAnsiTheme="minorHAnsi"/>
          <w:b/>
          <w:sz w:val="28"/>
          <w:szCs w:val="28"/>
        </w:rPr>
      </w:pPr>
      <w:r w:rsidRPr="005653A4">
        <w:rPr>
          <w:rFonts w:asciiTheme="minorHAnsi" w:hAnsiTheme="minorHAnsi"/>
          <w:b/>
          <w:sz w:val="28"/>
          <w:szCs w:val="28"/>
        </w:rPr>
        <w:t>Rh Type</w:t>
      </w:r>
    </w:p>
    <w:p w:rsidR="00A97824" w:rsidRPr="005653A4" w:rsidRDefault="00A97824" w:rsidP="000E03E3">
      <w:pPr>
        <w:rPr>
          <w:rFonts w:asciiTheme="minorHAnsi" w:hAnsiTheme="minorHAnsi"/>
          <w:szCs w:val="22"/>
        </w:rPr>
      </w:pPr>
    </w:p>
    <w:p w:rsidR="000E03E3" w:rsidRPr="005653A4" w:rsidRDefault="000E03E3" w:rsidP="000E03E3">
      <w:pPr>
        <w:tabs>
          <w:tab w:val="left" w:pos="-720"/>
        </w:tabs>
        <w:suppressAutoHyphens/>
        <w:rPr>
          <w:rFonts w:asciiTheme="minorHAnsi" w:hAnsiTheme="minorHAnsi"/>
          <w:b/>
          <w:spacing w:val="-2"/>
          <w:szCs w:val="22"/>
        </w:rPr>
      </w:pPr>
      <w:r w:rsidRPr="005653A4">
        <w:rPr>
          <w:rFonts w:asciiTheme="minorHAnsi" w:hAnsiTheme="minorHAnsi"/>
          <w:b/>
          <w:spacing w:val="-2"/>
          <w:szCs w:val="22"/>
        </w:rPr>
        <w:t>PRINCIPLE</w:t>
      </w:r>
    </w:p>
    <w:p w:rsidR="00A97824" w:rsidRPr="005653A4" w:rsidRDefault="00A97824" w:rsidP="000E03E3">
      <w:pPr>
        <w:tabs>
          <w:tab w:val="left" w:pos="-720"/>
        </w:tabs>
        <w:suppressAutoHyphens/>
        <w:spacing w:before="120"/>
        <w:rPr>
          <w:rFonts w:asciiTheme="minorHAnsi" w:hAnsiTheme="minorHAnsi"/>
          <w:spacing w:val="-2"/>
          <w:szCs w:val="22"/>
        </w:rPr>
      </w:pPr>
      <w:r w:rsidRPr="005653A4">
        <w:rPr>
          <w:rFonts w:asciiTheme="minorHAnsi" w:hAnsiTheme="minorHAnsi"/>
          <w:spacing w:val="-2"/>
          <w:szCs w:val="22"/>
        </w:rPr>
        <w:t xml:space="preserve">Testing with Anti-D reagent is necessary to determine if red blood cells possess or lack the D blood group antigen. </w:t>
      </w:r>
      <w:r w:rsidR="000E03E3" w:rsidRPr="005653A4">
        <w:rPr>
          <w:rFonts w:asciiTheme="minorHAnsi" w:hAnsiTheme="minorHAnsi"/>
          <w:spacing w:val="-2"/>
          <w:szCs w:val="22"/>
        </w:rPr>
        <w:t xml:space="preserve"> </w:t>
      </w:r>
      <w:r w:rsidRPr="005653A4">
        <w:rPr>
          <w:rFonts w:asciiTheme="minorHAnsi" w:hAnsiTheme="minorHAnsi"/>
          <w:spacing w:val="-2"/>
          <w:szCs w:val="22"/>
        </w:rPr>
        <w:t xml:space="preserve">Agglutination of red blood cells with Anti-D reagent is a positive test result, which indicates the presence of the D antigen on the red blood cells.  Absence of agglutination is a negative test result, which indicates the D antigen is not demonstrable.  A test for weak D may be performed on samples that test negative with Anti-D to determine the Rh status.  </w:t>
      </w:r>
    </w:p>
    <w:p w:rsidR="00A97824" w:rsidRPr="005653A4" w:rsidRDefault="00A97824" w:rsidP="000E03E3">
      <w:pPr>
        <w:tabs>
          <w:tab w:val="left" w:pos="-720"/>
        </w:tabs>
        <w:suppressAutoHyphens/>
        <w:rPr>
          <w:rFonts w:asciiTheme="minorHAnsi" w:hAnsiTheme="minorHAnsi"/>
          <w:spacing w:val="-2"/>
          <w:szCs w:val="22"/>
        </w:rPr>
      </w:pPr>
    </w:p>
    <w:p w:rsidR="000E03E3" w:rsidRPr="005653A4" w:rsidRDefault="000E03E3" w:rsidP="000E03E3">
      <w:pPr>
        <w:tabs>
          <w:tab w:val="left" w:pos="-720"/>
        </w:tabs>
        <w:suppressAutoHyphens/>
        <w:rPr>
          <w:rFonts w:asciiTheme="minorHAnsi" w:hAnsiTheme="minorHAnsi"/>
          <w:b/>
          <w:spacing w:val="-2"/>
          <w:szCs w:val="22"/>
        </w:rPr>
      </w:pPr>
      <w:r w:rsidRPr="005653A4">
        <w:rPr>
          <w:rFonts w:asciiTheme="minorHAnsi" w:hAnsiTheme="minorHAnsi"/>
          <w:b/>
          <w:spacing w:val="-2"/>
          <w:szCs w:val="22"/>
        </w:rPr>
        <w:t>SPECIMEN COLLECTION</w:t>
      </w:r>
    </w:p>
    <w:p w:rsidR="00A97824" w:rsidRPr="005653A4" w:rsidRDefault="00A97824" w:rsidP="000E03E3">
      <w:pPr>
        <w:tabs>
          <w:tab w:val="left" w:pos="-720"/>
        </w:tabs>
        <w:suppressAutoHyphens/>
        <w:spacing w:before="120"/>
        <w:rPr>
          <w:rFonts w:asciiTheme="minorHAnsi" w:hAnsiTheme="minorHAnsi"/>
          <w:spacing w:val="-2"/>
          <w:szCs w:val="22"/>
        </w:rPr>
      </w:pPr>
      <w:r w:rsidRPr="005653A4">
        <w:rPr>
          <w:rFonts w:asciiTheme="minorHAnsi" w:hAnsiTheme="minorHAnsi"/>
          <w:spacing w:val="-2"/>
          <w:szCs w:val="22"/>
        </w:rPr>
        <w:t>No special preparation of the patient is required prior to specimen collection.  Blood should be collected by approved techniques.  The sample should be stored at 2 to 8C.  The method of collection and storage determines the period within which the red blood cells should be tested.   EDTA or clotted samples should be tested within 10 days.</w:t>
      </w:r>
    </w:p>
    <w:p w:rsidR="00A97824" w:rsidRPr="005653A4" w:rsidRDefault="00A97824" w:rsidP="000E03E3">
      <w:pPr>
        <w:tabs>
          <w:tab w:val="left" w:pos="-720"/>
        </w:tabs>
        <w:suppressAutoHyphens/>
        <w:rPr>
          <w:rFonts w:asciiTheme="minorHAnsi" w:hAnsiTheme="minorHAnsi"/>
          <w:spacing w:val="-2"/>
          <w:szCs w:val="22"/>
        </w:rPr>
      </w:pPr>
    </w:p>
    <w:p w:rsidR="000E03E3" w:rsidRPr="005653A4" w:rsidRDefault="000E03E3" w:rsidP="000E03E3">
      <w:pPr>
        <w:tabs>
          <w:tab w:val="left" w:pos="-720"/>
        </w:tabs>
        <w:suppressAutoHyphens/>
        <w:rPr>
          <w:rFonts w:asciiTheme="minorHAnsi" w:hAnsiTheme="minorHAnsi"/>
          <w:b/>
          <w:spacing w:val="-2"/>
          <w:szCs w:val="22"/>
        </w:rPr>
      </w:pPr>
      <w:r w:rsidRPr="005653A4">
        <w:rPr>
          <w:rFonts w:asciiTheme="minorHAnsi" w:hAnsiTheme="minorHAnsi"/>
          <w:b/>
          <w:spacing w:val="-2"/>
          <w:szCs w:val="22"/>
        </w:rPr>
        <w:t>REAGENT</w:t>
      </w:r>
    </w:p>
    <w:p w:rsidR="00A97824" w:rsidRPr="005653A4" w:rsidRDefault="00A97824" w:rsidP="000E03E3">
      <w:pPr>
        <w:tabs>
          <w:tab w:val="left" w:pos="-720"/>
        </w:tabs>
        <w:suppressAutoHyphens/>
        <w:spacing w:before="120"/>
        <w:rPr>
          <w:rFonts w:asciiTheme="minorHAnsi" w:hAnsiTheme="minorHAnsi"/>
          <w:spacing w:val="-2"/>
          <w:szCs w:val="22"/>
        </w:rPr>
      </w:pPr>
      <w:r w:rsidRPr="005653A4">
        <w:rPr>
          <w:rFonts w:asciiTheme="minorHAnsi" w:hAnsiTheme="minorHAnsi"/>
          <w:spacing w:val="-2"/>
          <w:szCs w:val="22"/>
        </w:rPr>
        <w:t xml:space="preserve">Seraclone Anti-D (RH1) Blend Rapid Tube. </w:t>
      </w:r>
      <w:r w:rsidR="000E03E3" w:rsidRPr="005653A4">
        <w:rPr>
          <w:rFonts w:asciiTheme="minorHAnsi" w:hAnsiTheme="minorHAnsi"/>
          <w:spacing w:val="-2"/>
          <w:szCs w:val="22"/>
        </w:rPr>
        <w:t xml:space="preserve"> </w:t>
      </w:r>
      <w:r w:rsidRPr="005653A4">
        <w:rPr>
          <w:rFonts w:asciiTheme="minorHAnsi" w:hAnsiTheme="minorHAnsi"/>
          <w:spacing w:val="-2"/>
          <w:szCs w:val="22"/>
        </w:rPr>
        <w:t>Do not use beyond expiration date.  Store at 2 to 8C.  May be at room temperature (20 to 30C) while in use.  (Refer to product insert for additional information about reagent.)</w:t>
      </w:r>
    </w:p>
    <w:p w:rsidR="00A97824" w:rsidRPr="005653A4" w:rsidRDefault="00A97824" w:rsidP="000E03E3">
      <w:pPr>
        <w:tabs>
          <w:tab w:val="left" w:pos="-720"/>
        </w:tabs>
        <w:suppressAutoHyphens/>
        <w:rPr>
          <w:rFonts w:asciiTheme="minorHAnsi" w:hAnsiTheme="minorHAnsi"/>
          <w:spacing w:val="-2"/>
          <w:szCs w:val="22"/>
        </w:rPr>
      </w:pPr>
    </w:p>
    <w:p w:rsidR="00A97824" w:rsidRPr="005653A4" w:rsidRDefault="00A97824" w:rsidP="000E03E3">
      <w:pPr>
        <w:rPr>
          <w:rFonts w:asciiTheme="minorHAnsi" w:hAnsiTheme="minorHAnsi"/>
          <w:szCs w:val="22"/>
        </w:rPr>
      </w:pPr>
      <w:r w:rsidRPr="005653A4">
        <w:rPr>
          <w:rFonts w:asciiTheme="minorHAnsi" w:hAnsiTheme="minorHAnsi"/>
          <w:b/>
          <w:szCs w:val="22"/>
        </w:rPr>
        <w:t>MATERIALS REQUIRED:</w:t>
      </w:r>
      <w:r w:rsidRPr="005653A4">
        <w:rPr>
          <w:rFonts w:asciiTheme="minorHAnsi" w:hAnsiTheme="minorHAnsi"/>
          <w:szCs w:val="22"/>
        </w:rPr>
        <w:t xml:space="preserve">  12 x 75 mm test tubes, isotonic saline, pipettes, centrifuge, agglutination viewer.</w:t>
      </w:r>
    </w:p>
    <w:p w:rsidR="00A97824" w:rsidRPr="005653A4" w:rsidRDefault="00A97824" w:rsidP="000E03E3">
      <w:pPr>
        <w:tabs>
          <w:tab w:val="left" w:pos="-720"/>
          <w:tab w:val="left" w:pos="0"/>
        </w:tabs>
        <w:suppressAutoHyphens/>
        <w:rPr>
          <w:rFonts w:asciiTheme="minorHAnsi" w:hAnsiTheme="minorHAnsi"/>
          <w:spacing w:val="-2"/>
          <w:szCs w:val="22"/>
        </w:rPr>
      </w:pPr>
    </w:p>
    <w:p w:rsidR="00A97824" w:rsidRPr="005653A4" w:rsidRDefault="00A97824" w:rsidP="000E03E3">
      <w:pPr>
        <w:tabs>
          <w:tab w:val="left" w:pos="-720"/>
        </w:tabs>
        <w:suppressAutoHyphens/>
        <w:rPr>
          <w:rFonts w:asciiTheme="minorHAnsi" w:hAnsiTheme="minorHAnsi"/>
          <w:spacing w:val="-2"/>
          <w:szCs w:val="22"/>
        </w:rPr>
      </w:pPr>
      <w:r w:rsidRPr="005653A4">
        <w:rPr>
          <w:rFonts w:asciiTheme="minorHAnsi" w:hAnsiTheme="minorHAnsi"/>
          <w:b/>
          <w:spacing w:val="-2"/>
          <w:szCs w:val="22"/>
        </w:rPr>
        <w:t>QUALITY CONTROL:</w:t>
      </w:r>
      <w:r w:rsidRPr="005653A4">
        <w:rPr>
          <w:rFonts w:asciiTheme="minorHAnsi" w:hAnsiTheme="minorHAnsi"/>
          <w:spacing w:val="-2"/>
          <w:szCs w:val="22"/>
        </w:rPr>
        <w:t xml:space="preserve">  To recognize reagent deterioration the reagent must be tested daily with appropriate controls.  See QUALITY CONTROL procedure.</w:t>
      </w:r>
    </w:p>
    <w:p w:rsidR="00A97824" w:rsidRPr="005653A4" w:rsidRDefault="00A97824" w:rsidP="000E03E3">
      <w:pPr>
        <w:rPr>
          <w:rFonts w:asciiTheme="minorHAnsi" w:hAnsiTheme="minorHAnsi"/>
          <w:spacing w:val="-2"/>
          <w:szCs w:val="22"/>
        </w:rPr>
      </w:pPr>
    </w:p>
    <w:p w:rsidR="000E03E3" w:rsidRPr="005653A4" w:rsidRDefault="000E03E3" w:rsidP="000E03E3">
      <w:pPr>
        <w:tabs>
          <w:tab w:val="left" w:pos="-720"/>
          <w:tab w:val="left" w:pos="0"/>
        </w:tabs>
        <w:suppressAutoHyphens/>
        <w:rPr>
          <w:rFonts w:asciiTheme="minorHAnsi" w:hAnsiTheme="minorHAnsi"/>
          <w:b/>
          <w:szCs w:val="22"/>
        </w:rPr>
      </w:pPr>
      <w:r w:rsidRPr="005653A4">
        <w:rPr>
          <w:rFonts w:asciiTheme="minorHAnsi" w:hAnsiTheme="minorHAnsi"/>
          <w:b/>
          <w:szCs w:val="22"/>
        </w:rPr>
        <w:t xml:space="preserve">PROCEDURE – </w:t>
      </w:r>
      <w:r w:rsidR="00A97824" w:rsidRPr="005653A4">
        <w:rPr>
          <w:rFonts w:asciiTheme="minorHAnsi" w:hAnsiTheme="minorHAnsi"/>
          <w:b/>
          <w:szCs w:val="22"/>
        </w:rPr>
        <w:t>TUBE METHOD:</w:t>
      </w:r>
      <w:r w:rsidR="00A97824" w:rsidRPr="005653A4">
        <w:rPr>
          <w:rFonts w:asciiTheme="minorHAnsi" w:hAnsiTheme="minorHAnsi"/>
          <w:szCs w:val="22"/>
        </w:rPr>
        <w:t xml:space="preserve">  </w:t>
      </w:r>
      <w:r w:rsidR="00A97824" w:rsidRPr="005653A4">
        <w:rPr>
          <w:rFonts w:asciiTheme="minorHAnsi" w:hAnsiTheme="minorHAnsi"/>
          <w:b/>
          <w:szCs w:val="22"/>
        </w:rPr>
        <w:t>(Bring all reagents to room temperature before testing)</w:t>
      </w:r>
    </w:p>
    <w:p w:rsidR="000E03E3" w:rsidRPr="005653A4" w:rsidRDefault="000E03E3" w:rsidP="000E03E3">
      <w:pPr>
        <w:tabs>
          <w:tab w:val="left" w:pos="-720"/>
          <w:tab w:val="left" w:pos="0"/>
        </w:tabs>
        <w:suppressAutoHyphens/>
        <w:rPr>
          <w:rFonts w:asciiTheme="minorHAnsi" w:hAnsiTheme="minorHAnsi"/>
          <w:szCs w:val="22"/>
        </w:rPr>
      </w:pPr>
    </w:p>
    <w:p w:rsidR="00A97824" w:rsidRPr="005653A4" w:rsidRDefault="00A97824" w:rsidP="000E03E3">
      <w:pPr>
        <w:tabs>
          <w:tab w:val="left" w:pos="-720"/>
          <w:tab w:val="left" w:pos="0"/>
        </w:tabs>
        <w:suppressAutoHyphens/>
        <w:rPr>
          <w:rFonts w:asciiTheme="minorHAnsi" w:hAnsiTheme="minorHAnsi"/>
          <w:b/>
          <w:szCs w:val="22"/>
        </w:rPr>
      </w:pPr>
      <w:r w:rsidRPr="005653A4">
        <w:rPr>
          <w:rFonts w:asciiTheme="minorHAnsi" w:hAnsiTheme="minorHAnsi"/>
          <w:b/>
          <w:spacing w:val="-2"/>
          <w:szCs w:val="22"/>
        </w:rPr>
        <w:t>(Read Comments section next page)</w:t>
      </w:r>
    </w:p>
    <w:p w:rsidR="00A97824" w:rsidRPr="005653A4" w:rsidRDefault="00A97824" w:rsidP="000E03E3">
      <w:pPr>
        <w:rPr>
          <w:rFonts w:asciiTheme="minorHAnsi" w:hAnsiTheme="minorHAnsi"/>
          <w:szCs w:val="22"/>
        </w:rPr>
      </w:pPr>
    </w:p>
    <w:p w:rsidR="00A97824" w:rsidRPr="005653A4" w:rsidRDefault="00A97824" w:rsidP="000E03E3">
      <w:pPr>
        <w:tabs>
          <w:tab w:val="left" w:pos="-720"/>
        </w:tabs>
        <w:suppressAutoHyphens/>
        <w:spacing w:after="120"/>
        <w:rPr>
          <w:rFonts w:asciiTheme="minorHAnsi" w:hAnsiTheme="minorHAnsi"/>
          <w:spacing w:val="-2"/>
          <w:szCs w:val="22"/>
        </w:rPr>
      </w:pPr>
      <w:r w:rsidRPr="005653A4">
        <w:rPr>
          <w:rFonts w:asciiTheme="minorHAnsi" w:hAnsiTheme="minorHAnsi"/>
          <w:b/>
          <w:spacing w:val="-2"/>
          <w:szCs w:val="22"/>
        </w:rPr>
        <w:t>NOTE:</w:t>
      </w:r>
      <w:r w:rsidRPr="005653A4">
        <w:rPr>
          <w:rFonts w:asciiTheme="minorHAnsi" w:hAnsiTheme="minorHAnsi"/>
          <w:spacing w:val="-2"/>
          <w:szCs w:val="22"/>
        </w:rPr>
        <w:t xml:space="preserve">  Steps 2 and 3 may be interchanged, but do it one way or the other.  Be consistent.</w:t>
      </w:r>
    </w:p>
    <w:tbl>
      <w:tblPr>
        <w:tblW w:w="100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8640"/>
      </w:tblGrid>
      <w:tr w:rsidR="00A97824" w:rsidRPr="005653A4" w:rsidTr="000E03E3">
        <w:trPr>
          <w:trHeight w:val="360"/>
        </w:trPr>
        <w:tc>
          <w:tcPr>
            <w:tcW w:w="1440" w:type="dxa"/>
          </w:tcPr>
          <w:p w:rsidR="00A97824" w:rsidRPr="005653A4" w:rsidRDefault="00A97824" w:rsidP="000E03E3">
            <w:pPr>
              <w:spacing w:before="20"/>
              <w:jc w:val="center"/>
              <w:rPr>
                <w:rFonts w:asciiTheme="minorHAnsi" w:hAnsiTheme="minorHAnsi"/>
                <w:b/>
                <w:szCs w:val="22"/>
              </w:rPr>
            </w:pPr>
            <w:r w:rsidRPr="005653A4">
              <w:rPr>
                <w:rFonts w:asciiTheme="minorHAnsi" w:hAnsiTheme="minorHAnsi"/>
                <w:b/>
                <w:szCs w:val="22"/>
              </w:rPr>
              <w:t>Step</w:t>
            </w:r>
          </w:p>
        </w:tc>
        <w:tc>
          <w:tcPr>
            <w:tcW w:w="8640" w:type="dxa"/>
          </w:tcPr>
          <w:p w:rsidR="00A97824" w:rsidRPr="005653A4" w:rsidRDefault="00A97824" w:rsidP="000E03E3">
            <w:pPr>
              <w:spacing w:before="20"/>
              <w:rPr>
                <w:rFonts w:asciiTheme="minorHAnsi" w:hAnsiTheme="minorHAnsi"/>
                <w:b/>
                <w:szCs w:val="22"/>
              </w:rPr>
            </w:pPr>
            <w:r w:rsidRPr="005653A4">
              <w:rPr>
                <w:rFonts w:asciiTheme="minorHAnsi" w:hAnsiTheme="minorHAnsi"/>
                <w:b/>
                <w:szCs w:val="22"/>
              </w:rPr>
              <w:t>Action</w:t>
            </w:r>
          </w:p>
        </w:tc>
      </w:tr>
      <w:tr w:rsidR="00A97824" w:rsidRPr="005653A4" w:rsidTr="000E03E3">
        <w:trPr>
          <w:trHeight w:val="360"/>
        </w:trPr>
        <w:tc>
          <w:tcPr>
            <w:tcW w:w="1440" w:type="dxa"/>
          </w:tcPr>
          <w:p w:rsidR="00A97824" w:rsidRPr="005653A4" w:rsidRDefault="00A97824" w:rsidP="000E03E3">
            <w:pPr>
              <w:jc w:val="center"/>
              <w:rPr>
                <w:rFonts w:asciiTheme="minorHAnsi" w:hAnsiTheme="minorHAnsi"/>
                <w:szCs w:val="22"/>
              </w:rPr>
            </w:pPr>
            <w:r w:rsidRPr="005653A4">
              <w:rPr>
                <w:rFonts w:asciiTheme="minorHAnsi" w:hAnsiTheme="minorHAnsi"/>
                <w:szCs w:val="22"/>
              </w:rPr>
              <w:t>1</w:t>
            </w:r>
          </w:p>
        </w:tc>
        <w:tc>
          <w:tcPr>
            <w:tcW w:w="8640" w:type="dxa"/>
          </w:tcPr>
          <w:p w:rsidR="000E03E3" w:rsidRPr="005653A4" w:rsidRDefault="00A97824" w:rsidP="000E03E3">
            <w:pPr>
              <w:rPr>
                <w:rFonts w:asciiTheme="minorHAnsi" w:hAnsiTheme="minorHAnsi"/>
                <w:szCs w:val="22"/>
              </w:rPr>
            </w:pPr>
            <w:r w:rsidRPr="005653A4">
              <w:rPr>
                <w:rFonts w:asciiTheme="minorHAnsi" w:hAnsiTheme="minorHAnsi"/>
                <w:szCs w:val="22"/>
              </w:rPr>
              <w:t xml:space="preserve">Prepare a 3-5% suspension of red blood cells to </w:t>
            </w:r>
            <w:r w:rsidR="000E03E3" w:rsidRPr="005653A4">
              <w:rPr>
                <w:rFonts w:asciiTheme="minorHAnsi" w:hAnsiTheme="minorHAnsi"/>
                <w:szCs w:val="22"/>
              </w:rPr>
              <w:t>be tested in isotonic saline.</w:t>
            </w:r>
          </w:p>
          <w:p w:rsidR="00A97824" w:rsidRPr="005653A4" w:rsidRDefault="00A97824" w:rsidP="000E03E3">
            <w:pPr>
              <w:spacing w:after="80"/>
              <w:rPr>
                <w:rFonts w:asciiTheme="minorHAnsi" w:hAnsiTheme="minorHAnsi"/>
                <w:szCs w:val="22"/>
              </w:rPr>
            </w:pPr>
            <w:r w:rsidRPr="005653A4">
              <w:rPr>
                <w:rFonts w:asciiTheme="minorHAnsi" w:hAnsiTheme="minorHAnsi"/>
                <w:szCs w:val="22"/>
              </w:rPr>
              <w:t>(Washed or unwashed cells may be used)</w:t>
            </w:r>
          </w:p>
        </w:tc>
      </w:tr>
      <w:tr w:rsidR="00A97824" w:rsidRPr="005653A4" w:rsidTr="000E03E3">
        <w:trPr>
          <w:trHeight w:val="360"/>
        </w:trPr>
        <w:tc>
          <w:tcPr>
            <w:tcW w:w="1440" w:type="dxa"/>
          </w:tcPr>
          <w:p w:rsidR="00A97824" w:rsidRPr="005653A4" w:rsidRDefault="00A97824" w:rsidP="000E03E3">
            <w:pPr>
              <w:jc w:val="center"/>
              <w:rPr>
                <w:rFonts w:asciiTheme="minorHAnsi" w:hAnsiTheme="minorHAnsi"/>
                <w:szCs w:val="22"/>
              </w:rPr>
            </w:pPr>
            <w:r w:rsidRPr="005653A4">
              <w:rPr>
                <w:rFonts w:asciiTheme="minorHAnsi" w:hAnsiTheme="minorHAnsi"/>
                <w:szCs w:val="22"/>
              </w:rPr>
              <w:t>2</w:t>
            </w:r>
          </w:p>
        </w:tc>
        <w:tc>
          <w:tcPr>
            <w:tcW w:w="8640" w:type="dxa"/>
          </w:tcPr>
          <w:p w:rsidR="00A97824" w:rsidRPr="005653A4" w:rsidRDefault="00A97824" w:rsidP="000E03E3">
            <w:pPr>
              <w:spacing w:after="80"/>
              <w:rPr>
                <w:rFonts w:asciiTheme="minorHAnsi" w:hAnsiTheme="minorHAnsi"/>
                <w:szCs w:val="22"/>
              </w:rPr>
            </w:pPr>
            <w:r w:rsidRPr="005653A4">
              <w:rPr>
                <w:rFonts w:asciiTheme="minorHAnsi" w:hAnsiTheme="minorHAnsi"/>
                <w:spacing w:val="-2"/>
                <w:szCs w:val="22"/>
              </w:rPr>
              <w:t>Add one drop of Anti-D reagent to appropriately labeled tube.</w:t>
            </w:r>
          </w:p>
        </w:tc>
      </w:tr>
      <w:tr w:rsidR="00A97824" w:rsidRPr="005653A4" w:rsidTr="000E03E3">
        <w:trPr>
          <w:trHeight w:val="360"/>
        </w:trPr>
        <w:tc>
          <w:tcPr>
            <w:tcW w:w="1440" w:type="dxa"/>
          </w:tcPr>
          <w:p w:rsidR="00A97824" w:rsidRPr="005653A4" w:rsidRDefault="00A97824" w:rsidP="000E03E3">
            <w:pPr>
              <w:jc w:val="center"/>
              <w:rPr>
                <w:rFonts w:asciiTheme="minorHAnsi" w:hAnsiTheme="minorHAnsi"/>
                <w:szCs w:val="22"/>
              </w:rPr>
            </w:pPr>
            <w:r w:rsidRPr="005653A4">
              <w:rPr>
                <w:rFonts w:asciiTheme="minorHAnsi" w:hAnsiTheme="minorHAnsi"/>
                <w:szCs w:val="22"/>
              </w:rPr>
              <w:t>3</w:t>
            </w:r>
          </w:p>
        </w:tc>
        <w:tc>
          <w:tcPr>
            <w:tcW w:w="8640" w:type="dxa"/>
          </w:tcPr>
          <w:p w:rsidR="00A97824" w:rsidRPr="005653A4" w:rsidRDefault="00A97824" w:rsidP="000E03E3">
            <w:pPr>
              <w:spacing w:after="80"/>
              <w:rPr>
                <w:rFonts w:asciiTheme="minorHAnsi" w:hAnsiTheme="minorHAnsi"/>
                <w:szCs w:val="22"/>
              </w:rPr>
            </w:pPr>
            <w:r w:rsidRPr="005653A4">
              <w:rPr>
                <w:rFonts w:asciiTheme="minorHAnsi" w:hAnsiTheme="minorHAnsi"/>
                <w:szCs w:val="22"/>
              </w:rPr>
              <w:t>Add one drop of rbc suspension into the tube and mix.</w:t>
            </w:r>
          </w:p>
        </w:tc>
      </w:tr>
      <w:tr w:rsidR="00A97824" w:rsidRPr="005653A4" w:rsidTr="000E03E3">
        <w:trPr>
          <w:trHeight w:val="360"/>
        </w:trPr>
        <w:tc>
          <w:tcPr>
            <w:tcW w:w="1440" w:type="dxa"/>
          </w:tcPr>
          <w:p w:rsidR="00A97824" w:rsidRPr="005653A4" w:rsidRDefault="00A97824" w:rsidP="000E03E3">
            <w:pPr>
              <w:jc w:val="center"/>
              <w:rPr>
                <w:rFonts w:asciiTheme="minorHAnsi" w:hAnsiTheme="minorHAnsi"/>
                <w:szCs w:val="22"/>
              </w:rPr>
            </w:pPr>
            <w:r w:rsidRPr="005653A4">
              <w:rPr>
                <w:rFonts w:asciiTheme="minorHAnsi" w:hAnsiTheme="minorHAnsi"/>
                <w:szCs w:val="22"/>
              </w:rPr>
              <w:t>4</w:t>
            </w:r>
          </w:p>
        </w:tc>
        <w:tc>
          <w:tcPr>
            <w:tcW w:w="8640" w:type="dxa"/>
          </w:tcPr>
          <w:p w:rsidR="00A97824" w:rsidRPr="005653A4" w:rsidRDefault="00A97824" w:rsidP="000E03E3">
            <w:pPr>
              <w:spacing w:after="80"/>
              <w:rPr>
                <w:rFonts w:asciiTheme="minorHAnsi" w:hAnsiTheme="minorHAnsi"/>
                <w:szCs w:val="22"/>
              </w:rPr>
            </w:pPr>
            <w:r w:rsidRPr="005653A4">
              <w:rPr>
                <w:rFonts w:asciiTheme="minorHAnsi" w:hAnsiTheme="minorHAnsi"/>
                <w:spacing w:val="-2"/>
                <w:szCs w:val="22"/>
              </w:rPr>
              <w:t>Centrifuge the test tube for appropriate centrifuge time.*</w:t>
            </w:r>
          </w:p>
        </w:tc>
      </w:tr>
      <w:tr w:rsidR="00A97824" w:rsidRPr="005653A4" w:rsidTr="000E03E3">
        <w:trPr>
          <w:trHeight w:val="360"/>
        </w:trPr>
        <w:tc>
          <w:tcPr>
            <w:tcW w:w="1440" w:type="dxa"/>
          </w:tcPr>
          <w:p w:rsidR="00A97824" w:rsidRPr="005653A4" w:rsidRDefault="00A97824" w:rsidP="000E03E3">
            <w:pPr>
              <w:jc w:val="center"/>
              <w:rPr>
                <w:rFonts w:asciiTheme="minorHAnsi" w:hAnsiTheme="minorHAnsi"/>
                <w:szCs w:val="22"/>
              </w:rPr>
            </w:pPr>
            <w:r w:rsidRPr="005653A4">
              <w:rPr>
                <w:rFonts w:asciiTheme="minorHAnsi" w:hAnsiTheme="minorHAnsi"/>
                <w:szCs w:val="22"/>
              </w:rPr>
              <w:t>5</w:t>
            </w:r>
          </w:p>
        </w:tc>
        <w:tc>
          <w:tcPr>
            <w:tcW w:w="8640" w:type="dxa"/>
          </w:tcPr>
          <w:p w:rsidR="00A97824" w:rsidRPr="005653A4" w:rsidRDefault="00A97824" w:rsidP="000E03E3">
            <w:pPr>
              <w:spacing w:after="80"/>
              <w:rPr>
                <w:rFonts w:asciiTheme="minorHAnsi" w:hAnsiTheme="minorHAnsi"/>
                <w:szCs w:val="22"/>
              </w:rPr>
            </w:pPr>
            <w:r w:rsidRPr="005653A4">
              <w:rPr>
                <w:rFonts w:asciiTheme="minorHAnsi" w:hAnsiTheme="minorHAnsi"/>
                <w:szCs w:val="22"/>
              </w:rPr>
              <w:t>Gently resuspend the red blood cell button and observe macroscopically for agglutination.</w:t>
            </w:r>
          </w:p>
        </w:tc>
      </w:tr>
      <w:tr w:rsidR="00A97824" w:rsidRPr="005653A4" w:rsidTr="000E03E3">
        <w:trPr>
          <w:trHeight w:val="360"/>
        </w:trPr>
        <w:tc>
          <w:tcPr>
            <w:tcW w:w="1440" w:type="dxa"/>
          </w:tcPr>
          <w:p w:rsidR="00A97824" w:rsidRPr="005653A4" w:rsidRDefault="00A97824" w:rsidP="000E03E3">
            <w:pPr>
              <w:jc w:val="center"/>
              <w:rPr>
                <w:rFonts w:asciiTheme="minorHAnsi" w:hAnsiTheme="minorHAnsi"/>
                <w:szCs w:val="22"/>
              </w:rPr>
            </w:pPr>
            <w:r w:rsidRPr="005653A4">
              <w:rPr>
                <w:rFonts w:asciiTheme="minorHAnsi" w:hAnsiTheme="minorHAnsi"/>
                <w:szCs w:val="22"/>
              </w:rPr>
              <w:t>6</w:t>
            </w:r>
          </w:p>
        </w:tc>
        <w:tc>
          <w:tcPr>
            <w:tcW w:w="8640" w:type="dxa"/>
          </w:tcPr>
          <w:p w:rsidR="00A97824" w:rsidRPr="005653A4" w:rsidRDefault="00A97824" w:rsidP="000E03E3">
            <w:pPr>
              <w:spacing w:after="80"/>
              <w:rPr>
                <w:rFonts w:asciiTheme="minorHAnsi" w:hAnsiTheme="minorHAnsi"/>
                <w:szCs w:val="22"/>
              </w:rPr>
            </w:pPr>
            <w:r w:rsidRPr="005653A4">
              <w:rPr>
                <w:rFonts w:asciiTheme="minorHAnsi" w:hAnsiTheme="minorHAnsi"/>
                <w:szCs w:val="22"/>
              </w:rPr>
              <w:t>Record results.</w:t>
            </w:r>
          </w:p>
        </w:tc>
      </w:tr>
      <w:tr w:rsidR="00A97824" w:rsidRPr="005653A4" w:rsidTr="000E03E3">
        <w:trPr>
          <w:trHeight w:val="360"/>
        </w:trPr>
        <w:tc>
          <w:tcPr>
            <w:tcW w:w="1440" w:type="dxa"/>
          </w:tcPr>
          <w:p w:rsidR="00A97824" w:rsidRPr="005653A4" w:rsidRDefault="00A97824" w:rsidP="000E03E3">
            <w:pPr>
              <w:jc w:val="center"/>
              <w:rPr>
                <w:rFonts w:asciiTheme="minorHAnsi" w:hAnsiTheme="minorHAnsi"/>
                <w:szCs w:val="22"/>
              </w:rPr>
            </w:pPr>
            <w:r w:rsidRPr="005653A4">
              <w:rPr>
                <w:rFonts w:asciiTheme="minorHAnsi" w:hAnsiTheme="minorHAnsi"/>
                <w:szCs w:val="22"/>
              </w:rPr>
              <w:t>7</w:t>
            </w:r>
          </w:p>
        </w:tc>
        <w:tc>
          <w:tcPr>
            <w:tcW w:w="8640" w:type="dxa"/>
          </w:tcPr>
          <w:p w:rsidR="00A97824" w:rsidRPr="005653A4" w:rsidRDefault="00A97824" w:rsidP="000E03E3">
            <w:pPr>
              <w:spacing w:after="80"/>
              <w:rPr>
                <w:rFonts w:asciiTheme="minorHAnsi" w:hAnsiTheme="minorHAnsi"/>
                <w:szCs w:val="22"/>
              </w:rPr>
            </w:pPr>
            <w:r w:rsidRPr="005653A4">
              <w:rPr>
                <w:rFonts w:asciiTheme="minorHAnsi" w:hAnsiTheme="minorHAnsi"/>
                <w:spacing w:val="-2"/>
                <w:szCs w:val="22"/>
              </w:rPr>
              <w:t>If no agglutination is observed and if a Weak D determination is desired, proceed to the Weak D test.</w:t>
            </w:r>
          </w:p>
        </w:tc>
      </w:tr>
    </w:tbl>
    <w:p w:rsidR="000E03E3" w:rsidRPr="005653A4" w:rsidRDefault="000E03E3" w:rsidP="000E03E3">
      <w:pPr>
        <w:tabs>
          <w:tab w:val="left" w:pos="-720"/>
          <w:tab w:val="left" w:pos="0"/>
          <w:tab w:val="left" w:pos="720"/>
        </w:tabs>
        <w:suppressAutoHyphens/>
        <w:rPr>
          <w:rFonts w:asciiTheme="minorHAnsi" w:hAnsiTheme="minorHAnsi"/>
          <w:spacing w:val="-2"/>
          <w:szCs w:val="22"/>
        </w:rPr>
      </w:pPr>
    </w:p>
    <w:p w:rsidR="00A97824" w:rsidRPr="005653A4" w:rsidRDefault="00A97824" w:rsidP="000E03E3">
      <w:pPr>
        <w:tabs>
          <w:tab w:val="left" w:pos="-720"/>
          <w:tab w:val="left" w:pos="0"/>
          <w:tab w:val="left" w:pos="720"/>
        </w:tabs>
        <w:suppressAutoHyphens/>
        <w:rPr>
          <w:rFonts w:asciiTheme="minorHAnsi" w:hAnsiTheme="minorHAnsi"/>
          <w:b/>
          <w:spacing w:val="-2"/>
          <w:szCs w:val="22"/>
        </w:rPr>
      </w:pPr>
      <w:r w:rsidRPr="005653A4">
        <w:rPr>
          <w:rFonts w:asciiTheme="minorHAnsi" w:hAnsiTheme="minorHAnsi"/>
          <w:b/>
          <w:spacing w:val="-2"/>
          <w:szCs w:val="22"/>
        </w:rPr>
        <w:t>*Note:  Centrifuge spin and wash time are noted on each centrifuge.</w:t>
      </w:r>
    </w:p>
    <w:p w:rsidR="00A97824" w:rsidRPr="005653A4" w:rsidRDefault="00A97824" w:rsidP="000E03E3">
      <w:pPr>
        <w:tabs>
          <w:tab w:val="left" w:pos="-720"/>
          <w:tab w:val="left" w:pos="0"/>
          <w:tab w:val="left" w:pos="720"/>
        </w:tabs>
        <w:suppressAutoHyphens/>
        <w:rPr>
          <w:rFonts w:asciiTheme="minorHAnsi" w:hAnsiTheme="minorHAnsi"/>
          <w:spacing w:val="-2"/>
          <w:szCs w:val="22"/>
        </w:rPr>
      </w:pPr>
    </w:p>
    <w:p w:rsidR="000E03E3" w:rsidRPr="005653A4" w:rsidRDefault="000E03E3" w:rsidP="000E03E3">
      <w:pPr>
        <w:tabs>
          <w:tab w:val="left" w:pos="-720"/>
          <w:tab w:val="left" w:pos="0"/>
          <w:tab w:val="left" w:pos="720"/>
        </w:tabs>
        <w:suppressAutoHyphens/>
        <w:rPr>
          <w:rFonts w:asciiTheme="minorHAnsi" w:hAnsiTheme="minorHAnsi"/>
          <w:spacing w:val="-2"/>
          <w:szCs w:val="22"/>
        </w:rPr>
      </w:pPr>
    </w:p>
    <w:p w:rsidR="000E03E3" w:rsidRPr="005653A4" w:rsidRDefault="000E03E3" w:rsidP="000E03E3">
      <w:pPr>
        <w:tabs>
          <w:tab w:val="left" w:pos="-720"/>
          <w:tab w:val="left" w:pos="0"/>
          <w:tab w:val="left" w:pos="720"/>
        </w:tabs>
        <w:suppressAutoHyphens/>
        <w:rPr>
          <w:rFonts w:asciiTheme="minorHAnsi" w:hAnsiTheme="minorHAnsi"/>
          <w:spacing w:val="-2"/>
          <w:szCs w:val="22"/>
        </w:rPr>
      </w:pPr>
    </w:p>
    <w:p w:rsidR="000E03E3" w:rsidRPr="005653A4" w:rsidRDefault="000E03E3" w:rsidP="000E03E3">
      <w:pPr>
        <w:tabs>
          <w:tab w:val="left" w:pos="-720"/>
          <w:tab w:val="left" w:pos="0"/>
          <w:tab w:val="left" w:pos="720"/>
        </w:tabs>
        <w:suppressAutoHyphens/>
        <w:rPr>
          <w:rFonts w:asciiTheme="minorHAnsi" w:hAnsiTheme="minorHAnsi"/>
          <w:spacing w:val="-2"/>
          <w:szCs w:val="22"/>
        </w:rPr>
        <w:sectPr w:rsidR="000E03E3" w:rsidRPr="005653A4" w:rsidSect="000E03E3">
          <w:footerReference w:type="default" r:id="rId7"/>
          <w:pgSz w:w="12240" w:h="15840" w:code="1"/>
          <w:pgMar w:top="864" w:right="1152" w:bottom="864" w:left="1152" w:header="720" w:footer="576" w:gutter="0"/>
          <w:cols w:space="720"/>
          <w:docGrid w:linePitch="360"/>
        </w:sectPr>
      </w:pPr>
    </w:p>
    <w:p w:rsidR="00A97824" w:rsidRPr="005653A4" w:rsidRDefault="000E03E3" w:rsidP="000E03E3">
      <w:pPr>
        <w:tabs>
          <w:tab w:val="left" w:pos="-720"/>
          <w:tab w:val="left" w:pos="0"/>
          <w:tab w:val="left" w:pos="720"/>
        </w:tabs>
        <w:suppressAutoHyphens/>
        <w:rPr>
          <w:rFonts w:asciiTheme="minorHAnsi" w:hAnsiTheme="minorHAnsi"/>
          <w:spacing w:val="-2"/>
          <w:szCs w:val="22"/>
        </w:rPr>
      </w:pPr>
      <w:r w:rsidRPr="005653A4">
        <w:rPr>
          <w:rFonts w:asciiTheme="minorHAnsi" w:hAnsiTheme="minorHAnsi"/>
          <w:b/>
          <w:spacing w:val="-2"/>
          <w:szCs w:val="22"/>
        </w:rPr>
        <w:lastRenderedPageBreak/>
        <w:t>COMMENTS</w:t>
      </w:r>
    </w:p>
    <w:p w:rsidR="00A97824" w:rsidRPr="005653A4" w:rsidRDefault="00A97824" w:rsidP="000E03E3">
      <w:pPr>
        <w:tabs>
          <w:tab w:val="left" w:pos="-720"/>
          <w:tab w:val="left" w:pos="0"/>
          <w:tab w:val="left" w:pos="720"/>
        </w:tabs>
        <w:suppressAutoHyphens/>
        <w:spacing w:before="120"/>
        <w:rPr>
          <w:rFonts w:asciiTheme="minorHAnsi" w:hAnsiTheme="minorHAnsi"/>
          <w:b/>
          <w:spacing w:val="-2"/>
          <w:szCs w:val="22"/>
        </w:rPr>
      </w:pPr>
      <w:r w:rsidRPr="005653A4">
        <w:rPr>
          <w:rFonts w:asciiTheme="minorHAnsi" w:hAnsiTheme="minorHAnsi"/>
          <w:spacing w:val="-2"/>
          <w:szCs w:val="22"/>
        </w:rPr>
        <w:t>Concurrent testing for the ABO blood group serves as a routine simultaneous control.  The routine use of an Rh control is not required.  Only when the cells under test are found reactive with anti-A, anti-B and anti-D is the use of an additional control necessary.  Isotonic saline, a commercial Rh control, a 6% to 8% solution of bovine albumin in isotonic saline, or a patient auto-control may be used.  If the control test gives a positive reaction, a valid interpretation cannot be made.</w:t>
      </w:r>
    </w:p>
    <w:p w:rsidR="00A97824" w:rsidRPr="005653A4" w:rsidRDefault="00A97824" w:rsidP="000E03E3">
      <w:pPr>
        <w:tabs>
          <w:tab w:val="left" w:pos="-720"/>
        </w:tabs>
        <w:suppressAutoHyphens/>
        <w:rPr>
          <w:rFonts w:asciiTheme="minorHAnsi" w:hAnsiTheme="minorHAnsi"/>
          <w:spacing w:val="-2"/>
          <w:szCs w:val="22"/>
        </w:rPr>
      </w:pPr>
    </w:p>
    <w:p w:rsidR="00A97824" w:rsidRPr="005653A4" w:rsidRDefault="000E03E3" w:rsidP="000E03E3">
      <w:pPr>
        <w:tabs>
          <w:tab w:val="left" w:pos="-720"/>
          <w:tab w:val="left" w:pos="270"/>
        </w:tabs>
        <w:suppressAutoHyphens/>
        <w:rPr>
          <w:rFonts w:asciiTheme="minorHAnsi" w:hAnsiTheme="minorHAnsi"/>
          <w:spacing w:val="-2"/>
          <w:szCs w:val="22"/>
        </w:rPr>
      </w:pPr>
      <w:r w:rsidRPr="005653A4">
        <w:rPr>
          <w:rFonts w:asciiTheme="minorHAnsi" w:hAnsiTheme="minorHAnsi"/>
          <w:b/>
          <w:spacing w:val="-2"/>
          <w:szCs w:val="22"/>
        </w:rPr>
        <w:t>RESULTS</w:t>
      </w:r>
    </w:p>
    <w:p w:rsidR="00A97824" w:rsidRPr="005653A4" w:rsidRDefault="000E03E3" w:rsidP="000E03E3">
      <w:pPr>
        <w:tabs>
          <w:tab w:val="left" w:pos="-720"/>
          <w:tab w:val="left" w:pos="270"/>
        </w:tabs>
        <w:suppressAutoHyphens/>
        <w:overflowPunct w:val="0"/>
        <w:autoSpaceDE w:val="0"/>
        <w:autoSpaceDN w:val="0"/>
        <w:adjustRightInd w:val="0"/>
        <w:spacing w:before="120"/>
        <w:textAlignment w:val="baseline"/>
        <w:rPr>
          <w:rFonts w:asciiTheme="minorHAnsi" w:hAnsiTheme="minorHAnsi"/>
          <w:spacing w:val="-2"/>
          <w:szCs w:val="22"/>
        </w:rPr>
      </w:pPr>
      <w:r w:rsidRPr="005653A4">
        <w:rPr>
          <w:rFonts w:asciiTheme="minorHAnsi" w:hAnsiTheme="minorHAnsi"/>
          <w:szCs w:val="22"/>
        </w:rPr>
        <w:t>•</w:t>
      </w:r>
      <w:r w:rsidRPr="005653A4">
        <w:rPr>
          <w:rFonts w:asciiTheme="minorHAnsi" w:hAnsiTheme="minorHAnsi"/>
          <w:szCs w:val="22"/>
        </w:rPr>
        <w:tab/>
      </w:r>
      <w:r w:rsidR="00A97824" w:rsidRPr="005653A4">
        <w:rPr>
          <w:rFonts w:asciiTheme="minorHAnsi" w:hAnsiTheme="minorHAnsi"/>
          <w:spacing w:val="-2"/>
          <w:szCs w:val="22"/>
          <w:u w:val="single"/>
        </w:rPr>
        <w:t>Agglutination</w:t>
      </w:r>
      <w:r w:rsidR="00A97824" w:rsidRPr="005653A4">
        <w:rPr>
          <w:rFonts w:asciiTheme="minorHAnsi" w:hAnsiTheme="minorHAnsi"/>
          <w:spacing w:val="-2"/>
          <w:szCs w:val="22"/>
        </w:rPr>
        <w:t xml:space="preserve"> of the red blood cells is a positive test result and indicates the presence of the D antigen.</w:t>
      </w:r>
    </w:p>
    <w:p w:rsidR="00A97824" w:rsidRPr="005653A4" w:rsidRDefault="000E03E3" w:rsidP="000E03E3">
      <w:pPr>
        <w:tabs>
          <w:tab w:val="left" w:pos="-720"/>
          <w:tab w:val="left" w:pos="270"/>
        </w:tabs>
        <w:suppressAutoHyphens/>
        <w:overflowPunct w:val="0"/>
        <w:autoSpaceDE w:val="0"/>
        <w:autoSpaceDN w:val="0"/>
        <w:adjustRightInd w:val="0"/>
        <w:spacing w:before="120"/>
        <w:textAlignment w:val="baseline"/>
        <w:rPr>
          <w:rFonts w:asciiTheme="minorHAnsi" w:hAnsiTheme="minorHAnsi"/>
          <w:spacing w:val="-2"/>
          <w:szCs w:val="22"/>
        </w:rPr>
      </w:pPr>
      <w:r w:rsidRPr="005653A4">
        <w:rPr>
          <w:rFonts w:asciiTheme="minorHAnsi" w:hAnsiTheme="minorHAnsi"/>
          <w:szCs w:val="22"/>
        </w:rPr>
        <w:t>•</w:t>
      </w:r>
      <w:r w:rsidRPr="005653A4">
        <w:rPr>
          <w:rFonts w:asciiTheme="minorHAnsi" w:hAnsiTheme="minorHAnsi"/>
          <w:szCs w:val="22"/>
        </w:rPr>
        <w:tab/>
      </w:r>
      <w:r w:rsidR="00A97824" w:rsidRPr="005653A4">
        <w:rPr>
          <w:rFonts w:asciiTheme="minorHAnsi" w:hAnsiTheme="minorHAnsi"/>
          <w:spacing w:val="-2"/>
          <w:szCs w:val="22"/>
          <w:u w:val="single"/>
        </w:rPr>
        <w:t>No agglutination</w:t>
      </w:r>
      <w:r w:rsidR="00A97824" w:rsidRPr="005653A4">
        <w:rPr>
          <w:rFonts w:asciiTheme="minorHAnsi" w:hAnsiTheme="minorHAnsi"/>
          <w:spacing w:val="-2"/>
          <w:szCs w:val="22"/>
        </w:rPr>
        <w:t xml:space="preserve"> of the red blood cells is a negative test result and indicates the absence of the D antigen. </w:t>
      </w:r>
    </w:p>
    <w:p w:rsidR="00A97824" w:rsidRPr="005653A4" w:rsidRDefault="00A97824" w:rsidP="000E03E3">
      <w:pPr>
        <w:tabs>
          <w:tab w:val="left" w:pos="-720"/>
          <w:tab w:val="left" w:pos="270"/>
        </w:tabs>
        <w:suppressAutoHyphens/>
        <w:rPr>
          <w:rFonts w:asciiTheme="minorHAnsi" w:hAnsiTheme="minorHAnsi"/>
          <w:spacing w:val="-2"/>
          <w:szCs w:val="22"/>
        </w:rPr>
      </w:pPr>
    </w:p>
    <w:p w:rsidR="00A97824" w:rsidRPr="005653A4" w:rsidRDefault="00A97824" w:rsidP="000E03E3">
      <w:pPr>
        <w:tabs>
          <w:tab w:val="left" w:pos="-720"/>
          <w:tab w:val="left" w:pos="270"/>
        </w:tabs>
        <w:suppressAutoHyphens/>
        <w:rPr>
          <w:rFonts w:asciiTheme="minorHAnsi" w:hAnsiTheme="minorHAnsi"/>
          <w:spacing w:val="-2"/>
          <w:szCs w:val="22"/>
        </w:rPr>
      </w:pPr>
      <w:r w:rsidRPr="005653A4">
        <w:rPr>
          <w:rFonts w:asciiTheme="minorHAnsi" w:hAnsiTheme="minorHAnsi"/>
          <w:b/>
          <w:spacing w:val="-2"/>
          <w:szCs w:val="22"/>
        </w:rPr>
        <w:t>LIMITATIONS:</w:t>
      </w:r>
    </w:p>
    <w:p w:rsidR="00A97824" w:rsidRPr="005653A4" w:rsidRDefault="000E03E3" w:rsidP="000E03E3">
      <w:pPr>
        <w:tabs>
          <w:tab w:val="left" w:pos="-720"/>
          <w:tab w:val="left" w:pos="0"/>
          <w:tab w:val="left" w:pos="270"/>
        </w:tabs>
        <w:suppressAutoHyphens/>
        <w:overflowPunct w:val="0"/>
        <w:autoSpaceDE w:val="0"/>
        <w:autoSpaceDN w:val="0"/>
        <w:adjustRightInd w:val="0"/>
        <w:spacing w:before="120"/>
        <w:textAlignment w:val="baseline"/>
        <w:rPr>
          <w:rFonts w:asciiTheme="minorHAnsi" w:hAnsiTheme="minorHAnsi"/>
          <w:spacing w:val="-2"/>
          <w:szCs w:val="22"/>
        </w:rPr>
      </w:pPr>
      <w:r w:rsidRPr="005653A4">
        <w:rPr>
          <w:rFonts w:asciiTheme="minorHAnsi" w:hAnsiTheme="minorHAnsi"/>
          <w:szCs w:val="22"/>
        </w:rPr>
        <w:t>•</w:t>
      </w:r>
      <w:r w:rsidRPr="005653A4">
        <w:rPr>
          <w:rFonts w:asciiTheme="minorHAnsi" w:hAnsiTheme="minorHAnsi"/>
          <w:szCs w:val="22"/>
        </w:rPr>
        <w:tab/>
      </w:r>
      <w:r w:rsidR="00A97824" w:rsidRPr="005653A4">
        <w:rPr>
          <w:rFonts w:asciiTheme="minorHAnsi" w:hAnsiTheme="minorHAnsi"/>
          <w:spacing w:val="-2"/>
          <w:szCs w:val="22"/>
        </w:rPr>
        <w:t>Cord cells heavily sensitized with anti-D may demonstrate a false-negative immediate spin test result.</w:t>
      </w:r>
    </w:p>
    <w:p w:rsidR="000E03E3" w:rsidRPr="005653A4" w:rsidRDefault="000E03E3" w:rsidP="000E03E3">
      <w:pPr>
        <w:tabs>
          <w:tab w:val="left" w:pos="-720"/>
          <w:tab w:val="left" w:pos="0"/>
          <w:tab w:val="left" w:pos="270"/>
        </w:tabs>
        <w:suppressAutoHyphens/>
        <w:overflowPunct w:val="0"/>
        <w:autoSpaceDE w:val="0"/>
        <w:autoSpaceDN w:val="0"/>
        <w:adjustRightInd w:val="0"/>
        <w:spacing w:before="120"/>
        <w:textAlignment w:val="baseline"/>
        <w:rPr>
          <w:rFonts w:asciiTheme="minorHAnsi" w:hAnsiTheme="minorHAnsi"/>
          <w:spacing w:val="-2"/>
          <w:szCs w:val="22"/>
        </w:rPr>
      </w:pPr>
      <w:r w:rsidRPr="005653A4">
        <w:rPr>
          <w:rFonts w:asciiTheme="minorHAnsi" w:hAnsiTheme="minorHAnsi"/>
          <w:szCs w:val="22"/>
        </w:rPr>
        <w:t>•</w:t>
      </w:r>
      <w:r w:rsidRPr="005653A4">
        <w:rPr>
          <w:rFonts w:asciiTheme="minorHAnsi" w:hAnsiTheme="minorHAnsi"/>
          <w:szCs w:val="22"/>
        </w:rPr>
        <w:tab/>
      </w:r>
      <w:r w:rsidR="00A97824" w:rsidRPr="005653A4">
        <w:rPr>
          <w:rFonts w:asciiTheme="minorHAnsi" w:hAnsiTheme="minorHAnsi"/>
          <w:spacing w:val="-2"/>
          <w:szCs w:val="22"/>
        </w:rPr>
        <w:t xml:space="preserve">Reactions of red blood cells exhibiting weakened expressions of the D antigen may show varied reactivity </w:t>
      </w:r>
    </w:p>
    <w:p w:rsidR="00A97824" w:rsidRPr="005653A4" w:rsidRDefault="000E03E3" w:rsidP="000E03E3">
      <w:pPr>
        <w:tabs>
          <w:tab w:val="left" w:pos="-720"/>
          <w:tab w:val="left" w:pos="0"/>
          <w:tab w:val="left" w:pos="270"/>
        </w:tabs>
        <w:suppressAutoHyphens/>
        <w:overflowPunct w:val="0"/>
        <w:autoSpaceDE w:val="0"/>
        <w:autoSpaceDN w:val="0"/>
        <w:adjustRightInd w:val="0"/>
        <w:textAlignment w:val="baseline"/>
        <w:rPr>
          <w:rFonts w:asciiTheme="minorHAnsi" w:hAnsiTheme="minorHAnsi"/>
          <w:spacing w:val="-2"/>
          <w:szCs w:val="22"/>
        </w:rPr>
      </w:pPr>
      <w:r w:rsidRPr="005653A4">
        <w:rPr>
          <w:rFonts w:asciiTheme="minorHAnsi" w:hAnsiTheme="minorHAnsi"/>
          <w:spacing w:val="-2"/>
          <w:szCs w:val="22"/>
        </w:rPr>
        <w:tab/>
      </w:r>
      <w:r w:rsidR="00A97824" w:rsidRPr="005653A4">
        <w:rPr>
          <w:rFonts w:asciiTheme="minorHAnsi" w:hAnsiTheme="minorHAnsi"/>
          <w:spacing w:val="-2"/>
          <w:szCs w:val="22"/>
        </w:rPr>
        <w:t>as compared to those obtained with other Anti-D reagents.</w:t>
      </w:r>
    </w:p>
    <w:p w:rsidR="00A97824" w:rsidRPr="005653A4" w:rsidRDefault="000E03E3" w:rsidP="000E03E3">
      <w:pPr>
        <w:tabs>
          <w:tab w:val="left" w:pos="-720"/>
          <w:tab w:val="left" w:pos="0"/>
          <w:tab w:val="left" w:pos="270"/>
        </w:tabs>
        <w:suppressAutoHyphens/>
        <w:overflowPunct w:val="0"/>
        <w:autoSpaceDE w:val="0"/>
        <w:autoSpaceDN w:val="0"/>
        <w:adjustRightInd w:val="0"/>
        <w:spacing w:before="120"/>
        <w:textAlignment w:val="baseline"/>
        <w:rPr>
          <w:rFonts w:asciiTheme="minorHAnsi" w:hAnsiTheme="minorHAnsi"/>
          <w:spacing w:val="-2"/>
          <w:szCs w:val="22"/>
        </w:rPr>
      </w:pPr>
      <w:r w:rsidRPr="005653A4">
        <w:rPr>
          <w:rFonts w:asciiTheme="minorHAnsi" w:hAnsiTheme="minorHAnsi"/>
          <w:szCs w:val="22"/>
        </w:rPr>
        <w:t>•</w:t>
      </w:r>
      <w:r w:rsidRPr="005653A4">
        <w:rPr>
          <w:rFonts w:asciiTheme="minorHAnsi" w:hAnsiTheme="minorHAnsi"/>
          <w:szCs w:val="22"/>
        </w:rPr>
        <w:tab/>
      </w:r>
      <w:r w:rsidR="00A97824" w:rsidRPr="005653A4">
        <w:rPr>
          <w:rFonts w:asciiTheme="minorHAnsi" w:hAnsiTheme="minorHAnsi"/>
          <w:spacing w:val="-2"/>
          <w:szCs w:val="22"/>
        </w:rPr>
        <w:t>Refer to the product insert for additional comments.</w:t>
      </w:r>
    </w:p>
    <w:p w:rsidR="00A97824" w:rsidRPr="005653A4" w:rsidRDefault="00A97824" w:rsidP="000E03E3">
      <w:pPr>
        <w:tabs>
          <w:tab w:val="left" w:pos="-720"/>
        </w:tabs>
        <w:suppressAutoHyphens/>
        <w:rPr>
          <w:rFonts w:asciiTheme="minorHAnsi" w:hAnsiTheme="minorHAnsi"/>
          <w:spacing w:val="-2"/>
          <w:szCs w:val="22"/>
        </w:rPr>
      </w:pPr>
    </w:p>
    <w:p w:rsidR="00A97824" w:rsidRPr="005653A4" w:rsidRDefault="00A97824" w:rsidP="000E03E3">
      <w:pPr>
        <w:tabs>
          <w:tab w:val="left" w:pos="-720"/>
        </w:tabs>
        <w:suppressAutoHyphens/>
        <w:rPr>
          <w:rFonts w:asciiTheme="minorHAnsi" w:hAnsiTheme="minorHAnsi"/>
          <w:spacing w:val="-2"/>
          <w:szCs w:val="22"/>
        </w:rPr>
      </w:pPr>
      <w:r w:rsidRPr="005653A4">
        <w:rPr>
          <w:rFonts w:asciiTheme="minorHAnsi" w:hAnsiTheme="minorHAnsi"/>
          <w:b/>
          <w:spacing w:val="-2"/>
          <w:szCs w:val="22"/>
        </w:rPr>
        <w:t>REFERENCES:</w:t>
      </w:r>
    </w:p>
    <w:p w:rsidR="00033972" w:rsidRPr="00033972" w:rsidRDefault="00033972" w:rsidP="00033972">
      <w:pPr>
        <w:tabs>
          <w:tab w:val="left" w:pos="-720"/>
        </w:tabs>
        <w:suppressAutoHyphens/>
        <w:spacing w:before="120"/>
        <w:rPr>
          <w:rFonts w:asciiTheme="minorHAnsi" w:hAnsiTheme="minorHAnsi"/>
          <w:spacing w:val="-2"/>
          <w:szCs w:val="22"/>
        </w:rPr>
      </w:pPr>
      <w:bookmarkStart w:id="0" w:name="_GoBack"/>
      <w:bookmarkEnd w:id="0"/>
      <w:r w:rsidRPr="00033972">
        <w:rPr>
          <w:rFonts w:asciiTheme="minorHAnsi" w:hAnsiTheme="minorHAnsi"/>
          <w:spacing w:val="-2"/>
          <w:szCs w:val="22"/>
        </w:rPr>
        <w:t>Roback, J. (2011). Technical manual (17th ed.). Bethesda, Md.: AABB.</w:t>
      </w:r>
    </w:p>
    <w:p w:rsidR="00A97824" w:rsidRDefault="00A97824" w:rsidP="000E03E3">
      <w:pPr>
        <w:tabs>
          <w:tab w:val="left" w:pos="-720"/>
        </w:tabs>
        <w:suppressAutoHyphens/>
        <w:spacing w:before="120"/>
        <w:rPr>
          <w:rFonts w:asciiTheme="minorHAnsi" w:hAnsiTheme="minorHAnsi"/>
          <w:spacing w:val="-2"/>
          <w:szCs w:val="22"/>
        </w:rPr>
      </w:pPr>
      <w:r w:rsidRPr="005653A4">
        <w:rPr>
          <w:rFonts w:asciiTheme="minorHAnsi" w:hAnsiTheme="minorHAnsi"/>
          <w:spacing w:val="-2"/>
          <w:szCs w:val="22"/>
        </w:rPr>
        <w:t>Package insert:  Biotest Blood Grouping Reagent Anti-D (RH1) Blend Seraclone</w:t>
      </w:r>
      <w:r w:rsidRPr="005653A4">
        <w:rPr>
          <w:rFonts w:asciiTheme="minorHAnsi" w:hAnsiTheme="minorHAnsi"/>
          <w:spacing w:val="-2"/>
          <w:szCs w:val="22"/>
          <w:vertAlign w:val="superscript"/>
        </w:rPr>
        <w:sym w:font="Symbol" w:char="F0D2"/>
      </w:r>
      <w:r w:rsidRPr="005653A4">
        <w:rPr>
          <w:rFonts w:asciiTheme="minorHAnsi" w:hAnsiTheme="minorHAnsi"/>
          <w:spacing w:val="-2"/>
          <w:szCs w:val="22"/>
        </w:rPr>
        <w:t xml:space="preserve"> Human Monoclonal Blend.  Dreieich, Germany. </w:t>
      </w:r>
    </w:p>
    <w:p w:rsidR="00094E46" w:rsidRDefault="00094E46" w:rsidP="000E03E3">
      <w:pPr>
        <w:tabs>
          <w:tab w:val="left" w:pos="-720"/>
        </w:tabs>
        <w:suppressAutoHyphens/>
        <w:spacing w:before="120"/>
        <w:rPr>
          <w:rFonts w:asciiTheme="minorHAnsi" w:hAnsiTheme="minorHAnsi"/>
          <w:spacing w:val="-2"/>
          <w:szCs w:val="22"/>
        </w:rPr>
      </w:pPr>
    </w:p>
    <w:p w:rsidR="00094E46" w:rsidRPr="00094E46" w:rsidRDefault="00094E46" w:rsidP="00094E46">
      <w:pPr>
        <w:rPr>
          <w:sz w:val="18"/>
          <w:szCs w:val="18"/>
        </w:rPr>
      </w:pPr>
      <w:r w:rsidRPr="00094E46">
        <w:rPr>
          <w:rFonts w:ascii="Helvetica" w:hAnsi="Helvetica" w:cs="Helvetica"/>
          <w:bCs/>
          <w:iCs/>
          <w:color w:val="000000"/>
          <w:sz w:val="18"/>
          <w:szCs w:val="18"/>
        </w:rPr>
        <w:t>The CHEO courses are evaluated using internal Hybrid or Online Course Review Tools based on criteria from project colleges' Quality Assurance Standards developed by faculty and instructional designers.</w:t>
      </w:r>
      <w:r w:rsidRPr="00094E46">
        <w:rPr>
          <w:rFonts w:ascii="Helvetica" w:hAnsi="Helvetica" w:cs="Helvetica"/>
          <w:color w:val="000000"/>
          <w:sz w:val="18"/>
          <w:szCs w:val="18"/>
        </w:rPr>
        <w:t xml:space="preserve">  </w:t>
      </w:r>
      <w:r w:rsidRPr="00094E46">
        <w:rPr>
          <w:rFonts w:ascii="Helvetica" w:hAnsi="Helvetica" w:cs="Helvetica"/>
          <w:bCs/>
          <w:iCs/>
          <w:color w:val="000000"/>
          <w:sz w:val="18"/>
          <w:szCs w:val="18"/>
        </w:rPr>
        <w:t>Periodic course review is ongoing.</w:t>
      </w:r>
    </w:p>
    <w:p w:rsidR="00094E46" w:rsidRDefault="00094E46" w:rsidP="00094E46">
      <w:r>
        <w:rPr>
          <w:noProof/>
        </w:rPr>
        <mc:AlternateContent>
          <mc:Choice Requires="wps">
            <w:drawing>
              <wp:anchor distT="0" distB="0" distL="114300" distR="114300" simplePos="0" relativeHeight="251659776" behindDoc="0" locked="0" layoutInCell="1" allowOverlap="1" wp14:anchorId="65EF8461" wp14:editId="30B6671D">
                <wp:simplePos x="0" y="0"/>
                <wp:positionH relativeFrom="column">
                  <wp:posOffset>1905</wp:posOffset>
                </wp:positionH>
                <wp:positionV relativeFrom="paragraph">
                  <wp:posOffset>146050</wp:posOffset>
                </wp:positionV>
                <wp:extent cx="6048532" cy="1169233"/>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532" cy="1169233"/>
                        </a:xfrm>
                        <a:prstGeom prst="rect">
                          <a:avLst/>
                        </a:prstGeom>
                        <a:solidFill>
                          <a:srgbClr val="FFFFFF"/>
                        </a:solidFill>
                        <a:ln w="9525">
                          <a:solidFill>
                            <a:srgbClr val="000000"/>
                          </a:solidFill>
                          <a:miter lim="800000"/>
                          <a:headEnd/>
                          <a:tailEnd/>
                        </a:ln>
                      </wps:spPr>
                      <wps:txbx>
                        <w:txbxContent>
                          <w:p w:rsidR="00094E46" w:rsidRPr="00043D0A" w:rsidRDefault="00094E46" w:rsidP="00094E46">
                            <w:pPr>
                              <w:rPr>
                                <w:sz w:val="28"/>
                                <w:szCs w:val="28"/>
                              </w:rPr>
                            </w:pPr>
                            <w:r>
                              <w:rPr>
                                <w:noProof/>
                              </w:rPr>
                              <w:drawing>
                                <wp:inline distT="0" distB="0" distL="0" distR="0" wp14:anchorId="799955F0" wp14:editId="0A82CF67">
                                  <wp:extent cx="876924" cy="267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80324" cy="268160"/>
                                          </a:xfrm>
                                          <a:prstGeom prst="rect">
                                            <a:avLst/>
                                          </a:prstGeom>
                                        </pic:spPr>
                                      </pic:pic>
                                    </a:graphicData>
                                  </a:graphic>
                                </wp:inline>
                              </w:drawing>
                            </w:r>
                            <w:r>
                              <w:t xml:space="preserve"> </w:t>
                            </w:r>
                            <w:r w:rsidRPr="002A2BD4">
                              <w:rPr>
                                <w:sz w:val="16"/>
                                <w:szCs w:val="16"/>
                              </w:rPr>
                              <w:t xml:space="preserve">Consortium for Healthcare Education Online project material by CHEO Project TAACCCT Round 2 is licensed under a  </w:t>
                            </w:r>
                            <w:hyperlink r:id="rId9" w:history="1">
                              <w:r w:rsidRPr="002A2BD4">
                                <w:rPr>
                                  <w:rStyle w:val="Hyperlink"/>
                                  <w:sz w:val="16"/>
                                  <w:szCs w:val="16"/>
                                </w:rPr>
                                <w:t>Creative Commons Attribution 4.0 International License</w:t>
                              </w:r>
                            </w:hyperlink>
                            <w:r w:rsidRPr="002A2BD4">
                              <w:rPr>
                                <w:sz w:val="16"/>
                                <w:szCs w:val="16"/>
                              </w:rPr>
                              <w:t>“This</w:t>
                            </w:r>
                            <w:r w:rsidRPr="001260DF">
                              <w:rPr>
                                <w:sz w:val="16"/>
                                <w:szCs w:val="16"/>
                              </w:rPr>
                              <w:t xml:space="preserv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94E46" w:rsidRDefault="00094E46" w:rsidP="00094E46"/>
                          <w:p w:rsidR="00094E46" w:rsidRDefault="00094E46" w:rsidP="00094E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F8461" id="_x0000_t202" coordsize="21600,21600" o:spt="202" path="m,l,21600r21600,l21600,xe">
                <v:stroke joinstyle="miter"/>
                <v:path gradientshapeok="t" o:connecttype="rect"/>
              </v:shapetype>
              <v:shape id="Text Box 2" o:spid="_x0000_s1026" type="#_x0000_t202" style="position:absolute;margin-left:.15pt;margin-top:11.5pt;width:476.25pt;height:9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qcJQ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">
                <v:textbox>
                  <w:txbxContent>
                    <w:p w:rsidR="00094E46" w:rsidRPr="00043D0A" w:rsidRDefault="00094E46" w:rsidP="00094E46">
                      <w:pPr>
                        <w:rPr>
                          <w:sz w:val="28"/>
                          <w:szCs w:val="28"/>
                        </w:rPr>
                      </w:pPr>
                      <w:r>
                        <w:rPr>
                          <w:noProof/>
                        </w:rPr>
                        <w:drawing>
                          <wp:inline distT="0" distB="0" distL="0" distR="0" wp14:anchorId="799955F0" wp14:editId="0A82CF67">
                            <wp:extent cx="876924" cy="267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80324" cy="268160"/>
                                    </a:xfrm>
                                    <a:prstGeom prst="rect">
                                      <a:avLst/>
                                    </a:prstGeom>
                                  </pic:spPr>
                                </pic:pic>
                              </a:graphicData>
                            </a:graphic>
                          </wp:inline>
                        </w:drawing>
                      </w:r>
                      <w:r>
                        <w:t xml:space="preserve"> </w:t>
                      </w:r>
                      <w:r w:rsidRPr="002A2BD4">
                        <w:rPr>
                          <w:sz w:val="16"/>
                          <w:szCs w:val="16"/>
                        </w:rPr>
                        <w:t xml:space="preserve">Consortium for Healthcare Education Online project material by CHEO Project TAACCCT Round 2 is licensed under a  </w:t>
                      </w:r>
                      <w:hyperlink r:id="rId10" w:history="1">
                        <w:r w:rsidRPr="002A2BD4">
                          <w:rPr>
                            <w:rStyle w:val="Hyperlink"/>
                            <w:sz w:val="16"/>
                            <w:szCs w:val="16"/>
                          </w:rPr>
                          <w:t>Creative Commons Attribution 4.0 International License</w:t>
                        </w:r>
                      </w:hyperlink>
                      <w:r w:rsidRPr="002A2BD4">
                        <w:rPr>
                          <w:sz w:val="16"/>
                          <w:szCs w:val="16"/>
                        </w:rPr>
                        <w:t>“This</w:t>
                      </w:r>
                      <w:r w:rsidRPr="001260DF">
                        <w:rPr>
                          <w:sz w:val="16"/>
                          <w:szCs w:val="16"/>
                        </w:rPr>
                        <w:t xml:space="preserv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94E46" w:rsidRDefault="00094E46" w:rsidP="00094E46"/>
                    <w:p w:rsidR="00094E46" w:rsidRDefault="00094E46" w:rsidP="00094E46"/>
                  </w:txbxContent>
                </v:textbox>
              </v:shape>
            </w:pict>
          </mc:Fallback>
        </mc:AlternateContent>
      </w:r>
    </w:p>
    <w:p w:rsidR="00094E46" w:rsidRPr="005653A4" w:rsidRDefault="00094E46" w:rsidP="000E03E3">
      <w:pPr>
        <w:tabs>
          <w:tab w:val="left" w:pos="-720"/>
        </w:tabs>
        <w:suppressAutoHyphens/>
        <w:spacing w:before="120"/>
        <w:rPr>
          <w:rFonts w:asciiTheme="minorHAnsi" w:hAnsiTheme="minorHAnsi"/>
          <w:spacing w:val="-2"/>
          <w:szCs w:val="22"/>
        </w:rPr>
      </w:pPr>
    </w:p>
    <w:sectPr w:rsidR="00094E46" w:rsidRPr="005653A4" w:rsidSect="000E03E3">
      <w:pgSz w:w="12240" w:h="15840" w:code="1"/>
      <w:pgMar w:top="864" w:right="1152" w:bottom="864"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1F" w:rsidRDefault="00AC571F" w:rsidP="000E03E3">
      <w:r>
        <w:separator/>
      </w:r>
    </w:p>
  </w:endnote>
  <w:endnote w:type="continuationSeparator" w:id="0">
    <w:p w:rsidR="00AC571F" w:rsidRDefault="00AC571F" w:rsidP="000E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396130761"/>
      <w:docPartObj>
        <w:docPartGallery w:val="Page Numbers (Bottom of Page)"/>
        <w:docPartUnique/>
      </w:docPartObj>
    </w:sdtPr>
    <w:sdtEndPr>
      <w:rPr>
        <w:noProof/>
      </w:rPr>
    </w:sdtEndPr>
    <w:sdtContent>
      <w:p w:rsidR="000E03E3" w:rsidRPr="005653A4" w:rsidRDefault="000E03E3" w:rsidP="000E03E3">
        <w:pPr>
          <w:pStyle w:val="Footer"/>
          <w:jc w:val="center"/>
          <w:rPr>
            <w:rFonts w:asciiTheme="minorHAnsi" w:hAnsiTheme="minorHAnsi"/>
            <w:sz w:val="20"/>
          </w:rPr>
        </w:pPr>
        <w:r w:rsidRPr="005653A4">
          <w:rPr>
            <w:rFonts w:asciiTheme="minorHAnsi" w:hAnsiTheme="minorHAnsi"/>
            <w:sz w:val="20"/>
          </w:rPr>
          <w:fldChar w:fldCharType="begin"/>
        </w:r>
        <w:r w:rsidRPr="005653A4">
          <w:rPr>
            <w:rFonts w:asciiTheme="minorHAnsi" w:hAnsiTheme="minorHAnsi"/>
            <w:sz w:val="20"/>
          </w:rPr>
          <w:instrText xml:space="preserve"> PAGE   \* MERGEFORMAT </w:instrText>
        </w:r>
        <w:r w:rsidRPr="005653A4">
          <w:rPr>
            <w:rFonts w:asciiTheme="minorHAnsi" w:hAnsiTheme="minorHAnsi"/>
            <w:sz w:val="20"/>
          </w:rPr>
          <w:fldChar w:fldCharType="separate"/>
        </w:r>
        <w:r w:rsidR="00033972">
          <w:rPr>
            <w:rFonts w:asciiTheme="minorHAnsi" w:hAnsiTheme="minorHAnsi"/>
            <w:noProof/>
            <w:sz w:val="20"/>
          </w:rPr>
          <w:t>2</w:t>
        </w:r>
        <w:r w:rsidRPr="005653A4">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1F" w:rsidRDefault="00AC571F" w:rsidP="000E03E3">
      <w:r>
        <w:separator/>
      </w:r>
    </w:p>
  </w:footnote>
  <w:footnote w:type="continuationSeparator" w:id="0">
    <w:p w:rsidR="00AC571F" w:rsidRDefault="00AC571F" w:rsidP="000E0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E4FDD"/>
    <w:multiLevelType w:val="hybridMultilevel"/>
    <w:tmpl w:val="C14C0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9127B7"/>
    <w:multiLevelType w:val="hybridMultilevel"/>
    <w:tmpl w:val="1F649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24"/>
    <w:rsid w:val="00033972"/>
    <w:rsid w:val="00094E46"/>
    <w:rsid w:val="000E03E3"/>
    <w:rsid w:val="00243212"/>
    <w:rsid w:val="005653A4"/>
    <w:rsid w:val="007B3F36"/>
    <w:rsid w:val="00A97824"/>
    <w:rsid w:val="00AC571F"/>
    <w:rsid w:val="00CB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275ED-3BBA-4BBF-8861-8381AC46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24"/>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3E3"/>
    <w:pPr>
      <w:tabs>
        <w:tab w:val="center" w:pos="4680"/>
        <w:tab w:val="right" w:pos="9360"/>
      </w:tabs>
    </w:pPr>
  </w:style>
  <w:style w:type="character" w:customStyle="1" w:styleId="HeaderChar">
    <w:name w:val="Header Char"/>
    <w:basedOn w:val="DefaultParagraphFont"/>
    <w:link w:val="Header"/>
    <w:uiPriority w:val="99"/>
    <w:rsid w:val="000E03E3"/>
    <w:rPr>
      <w:rFonts w:ascii="Times New Roman" w:eastAsia="Times New Roman" w:hAnsi="Times New Roman" w:cs="Times New Roman"/>
      <w:szCs w:val="20"/>
    </w:rPr>
  </w:style>
  <w:style w:type="paragraph" w:styleId="Footer">
    <w:name w:val="footer"/>
    <w:basedOn w:val="Normal"/>
    <w:link w:val="FooterChar"/>
    <w:uiPriority w:val="99"/>
    <w:unhideWhenUsed/>
    <w:rsid w:val="000E03E3"/>
    <w:pPr>
      <w:tabs>
        <w:tab w:val="center" w:pos="4680"/>
        <w:tab w:val="right" w:pos="9360"/>
      </w:tabs>
    </w:pPr>
  </w:style>
  <w:style w:type="character" w:customStyle="1" w:styleId="FooterChar">
    <w:name w:val="Footer Char"/>
    <w:basedOn w:val="DefaultParagraphFont"/>
    <w:link w:val="Footer"/>
    <w:uiPriority w:val="99"/>
    <w:rsid w:val="000E03E3"/>
    <w:rPr>
      <w:rFonts w:ascii="Times New Roman" w:eastAsia="Times New Roman" w:hAnsi="Times New Roman" w:cs="Times New Roman"/>
      <w:szCs w:val="20"/>
    </w:rPr>
  </w:style>
  <w:style w:type="character" w:styleId="Hyperlink">
    <w:name w:val="Hyperlink"/>
    <w:basedOn w:val="DefaultParagraphFont"/>
    <w:uiPriority w:val="99"/>
    <w:unhideWhenUsed/>
    <w:rsid w:val="00094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tbreddy</dc:creator>
  <cp:lastModifiedBy>Sherray.Hurlbert</cp:lastModifiedBy>
  <cp:revision>6</cp:revision>
  <dcterms:created xsi:type="dcterms:W3CDTF">2013-09-12T15:37:00Z</dcterms:created>
  <dcterms:modified xsi:type="dcterms:W3CDTF">2015-08-24T16:08:00Z</dcterms:modified>
</cp:coreProperties>
</file>