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0DB" w:rsidRPr="00E3783F" w:rsidRDefault="006800DB" w:rsidP="006800DB">
      <w:pPr>
        <w:rPr>
          <w:rFonts w:ascii="Times New Roman" w:hAnsi="Times New Roman"/>
          <w:b/>
        </w:rPr>
      </w:pPr>
      <w:r>
        <w:rPr>
          <w:rFonts w:ascii="Times New Roman" w:hAnsi="Times New Roman"/>
          <w:b/>
        </w:rPr>
        <w:t>2. Class</w:t>
      </w:r>
      <w:r>
        <w:rPr>
          <w:rFonts w:ascii="Times New Roman" w:hAnsi="Times New Roman"/>
          <w:b/>
        </w:rPr>
        <w:tab/>
      </w:r>
      <w:r>
        <w:rPr>
          <w:rFonts w:ascii="Times New Roman" w:hAnsi="Times New Roman"/>
          <w:b/>
        </w:rPr>
        <w:tab/>
        <w:t>Title</w:t>
      </w:r>
      <w:r>
        <w:rPr>
          <w:rFonts w:ascii="Times New Roman" w:hAnsi="Times New Roman"/>
          <w:b/>
        </w:rPr>
        <w:tab/>
      </w:r>
      <w:r w:rsidRPr="00E3783F">
        <w:rPr>
          <w:rFonts w:ascii="Times New Roman" w:hAnsi="Times New Roman"/>
          <w:b/>
        </w:rPr>
        <w:tab/>
      </w:r>
      <w:r w:rsidRPr="00E3783F">
        <w:rPr>
          <w:rFonts w:ascii="Times New Roman" w:hAnsi="Times New Roman"/>
          <w:b/>
        </w:rPr>
        <w:tab/>
      </w:r>
      <w:r w:rsidRPr="00E3783F">
        <w:rPr>
          <w:rFonts w:ascii="Times New Roman" w:hAnsi="Times New Roman"/>
          <w:b/>
        </w:rPr>
        <w:tab/>
        <w:t xml:space="preserve"> </w:t>
      </w:r>
      <w:r w:rsidRPr="00E3783F">
        <w:rPr>
          <w:rFonts w:ascii="Times New Roman" w:hAnsi="Times New Roman"/>
          <w:b/>
        </w:rPr>
        <w:tab/>
      </w:r>
      <w:r w:rsidRPr="00E3783F">
        <w:rPr>
          <w:rFonts w:ascii="Times New Roman" w:hAnsi="Times New Roman"/>
          <w:b/>
        </w:rPr>
        <w:tab/>
      </w:r>
      <w:r w:rsidRPr="00E3783F">
        <w:rPr>
          <w:rFonts w:ascii="Times New Roman" w:hAnsi="Times New Roman"/>
          <w:b/>
        </w:rPr>
        <w:tab/>
        <w:t>Credits</w:t>
      </w:r>
    </w:p>
    <w:p w:rsidR="006800DB" w:rsidRPr="00E3783F" w:rsidRDefault="006800DB" w:rsidP="006800DB">
      <w:pPr>
        <w:rPr>
          <w:rFonts w:ascii="Times New Roman" w:hAnsi="Times New Roman" w:cs="Calibri"/>
          <w:color w:val="000000"/>
          <w:szCs w:val="22"/>
        </w:rPr>
      </w:pPr>
      <w:proofErr w:type="gramStart"/>
      <w:r w:rsidRPr="00E3783F">
        <w:rPr>
          <w:rFonts w:ascii="Times New Roman" w:hAnsi="Times New Roman" w:cs="Calibri"/>
          <w:color w:val="000000"/>
          <w:szCs w:val="22"/>
        </w:rPr>
        <w:t>DMS  130</w:t>
      </w:r>
      <w:proofErr w:type="gramEnd"/>
      <w:r w:rsidRPr="00E3783F">
        <w:rPr>
          <w:rFonts w:ascii="Times New Roman" w:hAnsi="Times New Roman" w:cs="Calibri"/>
          <w:color w:val="000000"/>
          <w:szCs w:val="22"/>
        </w:rPr>
        <w:t xml:space="preserve">   </w:t>
      </w:r>
      <w:r w:rsidRPr="00E3783F">
        <w:rPr>
          <w:rFonts w:ascii="Times New Roman" w:hAnsi="Times New Roman" w:cs="Calibri"/>
          <w:color w:val="000000"/>
          <w:szCs w:val="22"/>
        </w:rPr>
        <w:tab/>
        <w:t>General  Sonography  I  </w:t>
      </w:r>
      <w:r w:rsidRPr="00E3783F">
        <w:rPr>
          <w:rFonts w:ascii="Times New Roman" w:hAnsi="Times New Roman" w:cs="Calibri"/>
          <w:color w:val="000000"/>
          <w:szCs w:val="22"/>
        </w:rPr>
        <w:tab/>
      </w:r>
      <w:r w:rsidRPr="00E3783F">
        <w:rPr>
          <w:rFonts w:ascii="Times New Roman" w:hAnsi="Times New Roman" w:cs="Calibri"/>
          <w:color w:val="000000"/>
          <w:szCs w:val="22"/>
        </w:rPr>
        <w:tab/>
      </w:r>
      <w:r w:rsidRPr="00E3783F">
        <w:rPr>
          <w:rFonts w:ascii="Times New Roman" w:hAnsi="Times New Roman" w:cs="Calibri"/>
          <w:color w:val="000000"/>
          <w:szCs w:val="22"/>
        </w:rPr>
        <w:tab/>
      </w:r>
      <w:r w:rsidRPr="00E3783F">
        <w:rPr>
          <w:rFonts w:ascii="Times New Roman" w:hAnsi="Times New Roman" w:cs="Calibri"/>
          <w:color w:val="000000"/>
          <w:szCs w:val="22"/>
        </w:rPr>
        <w:tab/>
      </w:r>
      <w:r w:rsidRPr="00E3783F">
        <w:rPr>
          <w:rFonts w:ascii="Times New Roman" w:hAnsi="Times New Roman" w:cs="Calibri"/>
          <w:color w:val="000000"/>
          <w:szCs w:val="22"/>
        </w:rPr>
        <w:tab/>
      </w:r>
      <w:r w:rsidRPr="00E3783F">
        <w:rPr>
          <w:rFonts w:ascii="Times New Roman" w:hAnsi="Times New Roman" w:cs="Calibri"/>
          <w:color w:val="000000"/>
          <w:szCs w:val="22"/>
        </w:rPr>
        <w:tab/>
        <w:t>2</w:t>
      </w:r>
    </w:p>
    <w:p w:rsidR="006800DB" w:rsidRPr="00E3783F" w:rsidRDefault="006800DB" w:rsidP="006800DB">
      <w:pPr>
        <w:rPr>
          <w:rFonts w:ascii="Times New Roman" w:hAnsi="Times New Roman" w:cs="Calibri"/>
          <w:color w:val="000000"/>
          <w:szCs w:val="22"/>
        </w:rPr>
      </w:pPr>
    </w:p>
    <w:p w:rsidR="006800DB" w:rsidRPr="00E3783F" w:rsidRDefault="006800DB" w:rsidP="006800DB">
      <w:pPr>
        <w:rPr>
          <w:rFonts w:ascii="Times New Roman" w:hAnsi="Times New Roman" w:cs="Times New Roman"/>
          <w:color w:val="000000"/>
        </w:rPr>
      </w:pPr>
      <w:r w:rsidRPr="00E3783F">
        <w:rPr>
          <w:rFonts w:ascii="Times New Roman" w:hAnsi="Times New Roman" w:cs="Times New Roman"/>
          <w:color w:val="000000"/>
        </w:rPr>
        <w:t xml:space="preserve">This course includes a brief review of the anatomy, physiology and sectional anatomy of the human abdomen, superficial structures and non-cardiac chest. Pathology and pathophysiology specific to the general concentration will be presented. Recognition of the normal and abnormal </w:t>
      </w:r>
      <w:proofErr w:type="spellStart"/>
      <w:r w:rsidRPr="00E3783F">
        <w:rPr>
          <w:rFonts w:ascii="Times New Roman" w:hAnsi="Times New Roman" w:cs="Times New Roman"/>
          <w:color w:val="000000"/>
        </w:rPr>
        <w:t>sonographic</w:t>
      </w:r>
      <w:proofErr w:type="spellEnd"/>
      <w:r w:rsidRPr="00E3783F">
        <w:rPr>
          <w:rFonts w:ascii="Times New Roman" w:hAnsi="Times New Roman" w:cs="Times New Roman"/>
          <w:color w:val="000000"/>
        </w:rPr>
        <w:t xml:space="preserve"> appearances of the human thoracic, abdominal and superficial anatomy will be taught. Best practice examination methods utilizing ultrasound technology are presented. Basic exam protocols will be discussed</w:t>
      </w:r>
    </w:p>
    <w:p w:rsidR="006800DB" w:rsidRPr="00E3783F" w:rsidRDefault="006800DB" w:rsidP="006800DB">
      <w:pPr>
        <w:rPr>
          <w:rFonts w:ascii="Times New Roman" w:hAnsi="Times New Roman" w:cs="Times New Roman"/>
          <w:color w:val="000000"/>
        </w:rPr>
      </w:pPr>
    </w:p>
    <w:p w:rsidR="006800DB" w:rsidRPr="00E3783F" w:rsidRDefault="006800DB" w:rsidP="006800DB">
      <w:pPr>
        <w:rPr>
          <w:rFonts w:ascii="Times New Roman" w:hAnsi="Times New Roman" w:cs="Times New Roman"/>
          <w:b/>
          <w:color w:val="000000"/>
        </w:rPr>
      </w:pPr>
      <w:r w:rsidRPr="00E3783F">
        <w:rPr>
          <w:rFonts w:ascii="Times New Roman" w:hAnsi="Times New Roman" w:cs="Times New Roman"/>
          <w:b/>
          <w:color w:val="000000"/>
        </w:rPr>
        <w:t>Objectives:</w:t>
      </w:r>
    </w:p>
    <w:p w:rsidR="006800DB" w:rsidRPr="00E3783F" w:rsidRDefault="006800DB" w:rsidP="00680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b/>
          <w:bCs/>
          <w:color w:val="000000"/>
          <w:szCs w:val="19"/>
        </w:rPr>
      </w:pPr>
      <w:r w:rsidRPr="00E3783F">
        <w:rPr>
          <w:rFonts w:ascii="Times New Roman" w:hAnsi="Times New Roman" w:cs="Arial"/>
          <w:b/>
          <w:bCs/>
          <w:color w:val="000000"/>
          <w:szCs w:val="19"/>
        </w:rPr>
        <w:t>Upon completion of this course, the student should be able to do the following:</w:t>
      </w:r>
    </w:p>
    <w:p w:rsidR="006800DB" w:rsidRPr="00E3783F" w:rsidRDefault="006800DB" w:rsidP="006800DB">
      <w:pPr>
        <w:rPr>
          <w:rFonts w:ascii="Times New Roman" w:hAnsi="Times New Roman" w:cs="Times New Roman"/>
          <w:b/>
          <w:color w:val="000000"/>
        </w:rPr>
      </w:pPr>
    </w:p>
    <w:p w:rsidR="006800DB" w:rsidRPr="00E3783F" w:rsidRDefault="006800DB" w:rsidP="006800DB">
      <w:pPr>
        <w:pStyle w:val="ListParagraph"/>
        <w:numPr>
          <w:ilvl w:val="0"/>
          <w:numId w:val="1"/>
        </w:numPr>
        <w:spacing w:beforeLines="1" w:before="2" w:afterLines="1" w:after="2"/>
        <w:textAlignment w:val="baseline"/>
        <w:rPr>
          <w:rFonts w:ascii="Times New Roman" w:hAnsi="Times New Roman" w:cs="Times New Roman"/>
          <w:color w:val="000000"/>
        </w:rPr>
      </w:pPr>
      <w:r w:rsidRPr="00E3783F">
        <w:rPr>
          <w:rFonts w:ascii="Times New Roman" w:hAnsi="Times New Roman" w:cs="Times New Roman"/>
          <w:color w:val="000000"/>
        </w:rPr>
        <w:t>Identify ultrasound image orientation</w:t>
      </w:r>
    </w:p>
    <w:p w:rsidR="006800DB" w:rsidRPr="00E3783F" w:rsidRDefault="006800DB" w:rsidP="006800DB">
      <w:pPr>
        <w:pStyle w:val="ListParagraph"/>
        <w:numPr>
          <w:ilvl w:val="0"/>
          <w:numId w:val="1"/>
        </w:numPr>
        <w:spacing w:beforeLines="1" w:before="2" w:afterLines="1" w:after="2"/>
        <w:textAlignment w:val="baseline"/>
        <w:rPr>
          <w:rFonts w:ascii="Times New Roman" w:hAnsi="Times New Roman" w:cs="Times New Roman"/>
          <w:szCs w:val="12"/>
        </w:rPr>
      </w:pPr>
      <w:r w:rsidRPr="00E3783F">
        <w:rPr>
          <w:rFonts w:ascii="Times New Roman" w:hAnsi="Times New Roman" w:cs="Times New Roman"/>
          <w:szCs w:val="12"/>
        </w:rPr>
        <w:t>Identify cross sectional anatomy</w:t>
      </w:r>
    </w:p>
    <w:p w:rsidR="006800DB" w:rsidRPr="00E3783F" w:rsidRDefault="006800DB" w:rsidP="006800DB">
      <w:pPr>
        <w:pStyle w:val="ListParagraph"/>
        <w:numPr>
          <w:ilvl w:val="0"/>
          <w:numId w:val="1"/>
        </w:numPr>
        <w:spacing w:beforeLines="1" w:before="2" w:afterLines="1" w:after="2"/>
        <w:textAlignment w:val="baseline"/>
        <w:rPr>
          <w:rFonts w:ascii="Times New Roman" w:hAnsi="Times New Roman" w:cs="Times New Roman"/>
          <w:szCs w:val="12"/>
        </w:rPr>
      </w:pPr>
      <w:r w:rsidRPr="00E3783F">
        <w:rPr>
          <w:rFonts w:ascii="Times New Roman" w:hAnsi="Times New Roman" w:cs="Times New Roman"/>
          <w:szCs w:val="12"/>
        </w:rPr>
        <w:t>Demonstrate patient positioning for a given ultrasound procedure</w:t>
      </w:r>
    </w:p>
    <w:p w:rsidR="006800DB" w:rsidRPr="00E3783F" w:rsidRDefault="006800DB" w:rsidP="006800DB">
      <w:pPr>
        <w:pStyle w:val="ListParagraph"/>
        <w:numPr>
          <w:ilvl w:val="0"/>
          <w:numId w:val="1"/>
        </w:numPr>
        <w:spacing w:beforeLines="1" w:before="2" w:afterLines="1" w:after="2"/>
        <w:textAlignment w:val="baseline"/>
        <w:rPr>
          <w:rFonts w:ascii="Times New Roman" w:hAnsi="Times New Roman" w:cs="Times New Roman"/>
          <w:szCs w:val="12"/>
        </w:rPr>
      </w:pPr>
      <w:r w:rsidRPr="00E3783F">
        <w:rPr>
          <w:rFonts w:ascii="Times New Roman" w:hAnsi="Times New Roman" w:cs="Times New Roman"/>
          <w:szCs w:val="12"/>
        </w:rPr>
        <w:t>Define and use related medical terminology</w:t>
      </w:r>
    </w:p>
    <w:p w:rsidR="006800DB" w:rsidRPr="00E3783F" w:rsidRDefault="006800DB" w:rsidP="006800DB">
      <w:pPr>
        <w:pStyle w:val="ListParagraph"/>
        <w:numPr>
          <w:ilvl w:val="0"/>
          <w:numId w:val="1"/>
        </w:numPr>
        <w:spacing w:beforeLines="1" w:before="2" w:afterLines="1" w:after="2"/>
        <w:textAlignment w:val="baseline"/>
        <w:rPr>
          <w:rFonts w:ascii="Times New Roman" w:hAnsi="Times New Roman" w:cs="Times New Roman"/>
          <w:szCs w:val="12"/>
        </w:rPr>
      </w:pPr>
      <w:r w:rsidRPr="00E3783F">
        <w:rPr>
          <w:rFonts w:ascii="Times New Roman" w:hAnsi="Times New Roman" w:cs="Times New Roman"/>
          <w:szCs w:val="12"/>
        </w:rPr>
        <w:t>Identify anatomy of the liver and surrounding structures</w:t>
      </w:r>
    </w:p>
    <w:p w:rsidR="006800DB" w:rsidRPr="00E3783F" w:rsidRDefault="006800DB" w:rsidP="006800DB">
      <w:pPr>
        <w:pStyle w:val="ListParagraph"/>
        <w:numPr>
          <w:ilvl w:val="0"/>
          <w:numId w:val="1"/>
        </w:numPr>
        <w:spacing w:beforeLines="1" w:before="2" w:afterLines="1" w:after="2"/>
        <w:textAlignment w:val="baseline"/>
        <w:rPr>
          <w:rFonts w:ascii="Times New Roman" w:hAnsi="Times New Roman" w:cs="Times New Roman"/>
          <w:szCs w:val="12"/>
        </w:rPr>
      </w:pPr>
      <w:r w:rsidRPr="00E3783F">
        <w:rPr>
          <w:rFonts w:ascii="Times New Roman" w:hAnsi="Times New Roman" w:cs="Times New Roman"/>
          <w:szCs w:val="12"/>
        </w:rPr>
        <w:t>Recognize laboratory values associated with the liver and pathologies of the liver</w:t>
      </w:r>
    </w:p>
    <w:p w:rsidR="006800DB" w:rsidRPr="00E3783F" w:rsidRDefault="006800DB" w:rsidP="006800DB">
      <w:pPr>
        <w:pStyle w:val="ListParagraph"/>
        <w:numPr>
          <w:ilvl w:val="0"/>
          <w:numId w:val="1"/>
        </w:numPr>
        <w:spacing w:beforeLines="1" w:before="2" w:afterLines="1" w:after="2"/>
        <w:textAlignment w:val="baseline"/>
        <w:rPr>
          <w:rFonts w:ascii="Times New Roman" w:hAnsi="Times New Roman" w:cs="Times New Roman"/>
          <w:szCs w:val="12"/>
        </w:rPr>
      </w:pPr>
      <w:r w:rsidRPr="00E3783F">
        <w:rPr>
          <w:rFonts w:ascii="Times New Roman" w:hAnsi="Times New Roman" w:cs="Times New Roman"/>
          <w:szCs w:val="12"/>
        </w:rPr>
        <w:t xml:space="preserve">Identify the anatomy of the </w:t>
      </w:r>
      <w:proofErr w:type="spellStart"/>
      <w:r w:rsidRPr="00E3783F">
        <w:rPr>
          <w:rFonts w:ascii="Times New Roman" w:hAnsi="Times New Roman" w:cs="Times New Roman"/>
          <w:szCs w:val="12"/>
        </w:rPr>
        <w:t>extrahepatic</w:t>
      </w:r>
      <w:proofErr w:type="spellEnd"/>
      <w:r w:rsidRPr="00E3783F">
        <w:rPr>
          <w:rFonts w:ascii="Times New Roman" w:hAnsi="Times New Roman" w:cs="Times New Roman"/>
          <w:szCs w:val="12"/>
        </w:rPr>
        <w:t xml:space="preserve"> biliary system</w:t>
      </w:r>
    </w:p>
    <w:p w:rsidR="006800DB" w:rsidRPr="00E3783F" w:rsidRDefault="006800DB" w:rsidP="006800DB">
      <w:pPr>
        <w:pStyle w:val="ListParagraph"/>
        <w:numPr>
          <w:ilvl w:val="0"/>
          <w:numId w:val="1"/>
        </w:numPr>
        <w:spacing w:beforeLines="1" w:before="2" w:afterLines="1" w:after="2"/>
        <w:textAlignment w:val="baseline"/>
        <w:rPr>
          <w:rFonts w:ascii="Times New Roman" w:hAnsi="Times New Roman" w:cs="Times New Roman"/>
          <w:szCs w:val="12"/>
        </w:rPr>
      </w:pPr>
      <w:r w:rsidRPr="00E3783F">
        <w:rPr>
          <w:rFonts w:ascii="Times New Roman" w:hAnsi="Times New Roman" w:cs="Times New Roman"/>
          <w:szCs w:val="12"/>
        </w:rPr>
        <w:t>List common gallbladder disease signs and symptoms</w:t>
      </w:r>
    </w:p>
    <w:p w:rsidR="006800DB" w:rsidRPr="00E3783F" w:rsidRDefault="006800DB" w:rsidP="006800DB">
      <w:pPr>
        <w:pStyle w:val="ListParagraph"/>
        <w:numPr>
          <w:ilvl w:val="0"/>
          <w:numId w:val="1"/>
        </w:numPr>
        <w:spacing w:beforeLines="1" w:before="2" w:afterLines="1" w:after="2"/>
        <w:textAlignment w:val="baseline"/>
        <w:rPr>
          <w:rFonts w:ascii="Times New Roman" w:hAnsi="Times New Roman" w:cs="Times New Roman"/>
          <w:szCs w:val="12"/>
        </w:rPr>
      </w:pPr>
      <w:r w:rsidRPr="00E3783F">
        <w:rPr>
          <w:rFonts w:ascii="Times New Roman" w:hAnsi="Times New Roman" w:cs="Times New Roman"/>
          <w:szCs w:val="12"/>
        </w:rPr>
        <w:t>Identify common neoplasms of the gallbladder</w:t>
      </w:r>
    </w:p>
    <w:p w:rsidR="006800DB" w:rsidRPr="00E3783F" w:rsidRDefault="006800DB" w:rsidP="006800DB">
      <w:pPr>
        <w:pStyle w:val="ListParagraph"/>
        <w:numPr>
          <w:ilvl w:val="0"/>
          <w:numId w:val="1"/>
        </w:numPr>
        <w:spacing w:beforeLines="1" w:before="2" w:afterLines="1" w:after="2"/>
        <w:textAlignment w:val="baseline"/>
        <w:rPr>
          <w:rFonts w:ascii="Times New Roman" w:hAnsi="Times New Roman" w:cs="Times New Roman"/>
          <w:szCs w:val="12"/>
        </w:rPr>
      </w:pPr>
      <w:r w:rsidRPr="00E3783F">
        <w:rPr>
          <w:rFonts w:ascii="Times New Roman" w:hAnsi="Times New Roman" w:cs="Times New Roman"/>
          <w:szCs w:val="12"/>
        </w:rPr>
        <w:t xml:space="preserve">Identify the anatomy of the pancreas and the vascular landmarks </w:t>
      </w:r>
    </w:p>
    <w:p w:rsidR="006800DB" w:rsidRDefault="006800DB" w:rsidP="006800DB">
      <w:pPr>
        <w:pStyle w:val="ListParagraph"/>
        <w:numPr>
          <w:ilvl w:val="0"/>
          <w:numId w:val="1"/>
        </w:numPr>
        <w:spacing w:beforeLines="1" w:before="2" w:afterLines="1" w:after="2"/>
        <w:textAlignment w:val="baseline"/>
        <w:rPr>
          <w:rFonts w:ascii="Times New Roman" w:hAnsi="Times New Roman" w:cs="Times New Roman"/>
          <w:szCs w:val="12"/>
        </w:rPr>
      </w:pPr>
      <w:r w:rsidRPr="00E3783F">
        <w:rPr>
          <w:rFonts w:ascii="Times New Roman" w:hAnsi="Times New Roman" w:cs="Times New Roman"/>
          <w:szCs w:val="12"/>
        </w:rPr>
        <w:t xml:space="preserve">Identify anatomy of the </w:t>
      </w:r>
      <w:proofErr w:type="spellStart"/>
      <w:r w:rsidRPr="00E3783F">
        <w:rPr>
          <w:rFonts w:ascii="Times New Roman" w:hAnsi="Times New Roman" w:cs="Times New Roman"/>
          <w:szCs w:val="12"/>
        </w:rPr>
        <w:t>gastrointestional</w:t>
      </w:r>
      <w:proofErr w:type="spellEnd"/>
      <w:r w:rsidRPr="00E3783F">
        <w:rPr>
          <w:rFonts w:ascii="Times New Roman" w:hAnsi="Times New Roman" w:cs="Times New Roman"/>
          <w:szCs w:val="12"/>
        </w:rPr>
        <w:t xml:space="preserve"> tract and common pathologies</w:t>
      </w:r>
    </w:p>
    <w:p w:rsidR="0050661F" w:rsidRDefault="0050661F" w:rsidP="0050661F">
      <w:pPr>
        <w:spacing w:beforeLines="1" w:before="2" w:afterLines="1" w:after="2"/>
        <w:textAlignment w:val="baseline"/>
        <w:rPr>
          <w:rFonts w:ascii="Times New Roman" w:hAnsi="Times New Roman" w:cs="Times New Roman"/>
          <w:szCs w:val="12"/>
        </w:rPr>
      </w:pPr>
    </w:p>
    <w:p w:rsidR="0050661F" w:rsidRPr="00A756BD" w:rsidRDefault="0050661F" w:rsidP="0050661F">
      <w:pPr>
        <w:widowControl w:val="0"/>
        <w:rPr>
          <w:i/>
          <w:iCs/>
          <w:color w:val="1F497D"/>
          <w:sz w:val="16"/>
          <w:szCs w:val="12"/>
        </w:rPr>
      </w:pPr>
      <w:r w:rsidRPr="00A756BD">
        <w:rPr>
          <w:i/>
          <w:iCs/>
          <w:color w:val="1F497D"/>
          <w:sz w:val="16"/>
          <w:szCs w:val="12"/>
        </w:rPr>
        <w:t xml:space="preserve">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rsidR="0050661F" w:rsidRPr="00A756BD" w:rsidRDefault="0050661F" w:rsidP="0050661F">
      <w:pPr>
        <w:widowControl w:val="0"/>
        <w:rPr>
          <w:i/>
          <w:iCs/>
          <w:color w:val="1F497D"/>
          <w:sz w:val="16"/>
          <w:szCs w:val="12"/>
        </w:rPr>
      </w:pPr>
    </w:p>
    <w:p w:rsidR="0050661F" w:rsidRPr="00A756BD" w:rsidRDefault="0050661F" w:rsidP="0050661F">
      <w:pPr>
        <w:widowControl w:val="0"/>
        <w:rPr>
          <w:iCs/>
          <w:color w:val="1F497D"/>
          <w:sz w:val="16"/>
          <w:szCs w:val="12"/>
        </w:rPr>
      </w:pPr>
      <w:r w:rsidRPr="00A756BD">
        <w:rPr>
          <w:iCs/>
          <w:noProof/>
          <w:color w:val="1F497D"/>
          <w:sz w:val="16"/>
          <w:szCs w:val="12"/>
        </w:rPr>
        <w:drawing>
          <wp:inline distT="0" distB="0" distL="0" distR="0" wp14:anchorId="13B84C48" wp14:editId="20532B9E">
            <wp:extent cx="1228725" cy="428625"/>
            <wp:effectExtent l="0" t="0" r="0" b="0"/>
            <wp:docPr id="3" name="Picture 3" descr="C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 B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rsidR="0050661F" w:rsidRPr="00104D6B" w:rsidRDefault="0050661F" w:rsidP="0050661F">
      <w:pPr>
        <w:rPr>
          <w:rFonts w:ascii="Times New Roman" w:eastAsia="Times New Roman" w:hAnsi="Times New Roman" w:cs="Times New Roman"/>
          <w:szCs w:val="20"/>
        </w:rPr>
      </w:pPr>
      <w:r w:rsidRPr="00A756BD">
        <w:t xml:space="preserve">This work is licensed under the Creative Commons Attribution 4.0 International License. To view a copy of this license, visit </w:t>
      </w:r>
      <w:hyperlink r:id="rId8" w:history="1">
        <w:r w:rsidRPr="00A756BD">
          <w:rPr>
            <w:color w:val="0000FF"/>
            <w:u w:val="single"/>
          </w:rPr>
          <w:t>http://creativecommons.org/licenses/by/4.0/</w:t>
        </w:r>
      </w:hyperlink>
      <w:r w:rsidRPr="00A756BD">
        <w:t>.</w:t>
      </w:r>
    </w:p>
    <w:p w:rsidR="0050661F" w:rsidRPr="0050661F" w:rsidRDefault="0050661F" w:rsidP="0050661F">
      <w:pPr>
        <w:spacing w:beforeLines="1" w:before="2" w:afterLines="1" w:after="2"/>
        <w:textAlignment w:val="baseline"/>
        <w:rPr>
          <w:rFonts w:ascii="Times New Roman" w:hAnsi="Times New Roman" w:cs="Times New Roman"/>
          <w:szCs w:val="12"/>
        </w:rPr>
      </w:pPr>
      <w:bookmarkStart w:id="0" w:name="_GoBack"/>
      <w:bookmarkEnd w:id="0"/>
    </w:p>
    <w:p w:rsidR="006800DB" w:rsidRPr="00E3783F" w:rsidRDefault="006800DB" w:rsidP="006800DB">
      <w:pPr>
        <w:pStyle w:val="ListParagraph"/>
        <w:spacing w:beforeLines="1" w:before="2" w:afterLines="1" w:after="2"/>
        <w:textAlignment w:val="baseline"/>
        <w:rPr>
          <w:rFonts w:ascii="Times New Roman" w:hAnsi="Times New Roman" w:cs="Times New Roman"/>
          <w:szCs w:val="12"/>
        </w:rPr>
      </w:pPr>
    </w:p>
    <w:p w:rsidR="00921D8D" w:rsidRDefault="006800DB" w:rsidP="006800DB">
      <w:r>
        <w:rPr>
          <w:rFonts w:ascii="Times New Roman" w:hAnsi="Times New Roman" w:cs="Times New Roman"/>
          <w:szCs w:val="12"/>
        </w:rPr>
        <w:br w:type="page"/>
      </w:r>
    </w:p>
    <w:sectPr w:rsidR="00921D8D" w:rsidSect="00921D8D">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C7D" w:rsidRDefault="00746C7D" w:rsidP="00746C7D">
      <w:r>
        <w:separator/>
      </w:r>
    </w:p>
  </w:endnote>
  <w:endnote w:type="continuationSeparator" w:id="0">
    <w:p w:rsidR="00746C7D" w:rsidRDefault="00746C7D" w:rsidP="0074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C7D" w:rsidRDefault="00746C7D" w:rsidP="00746C7D">
      <w:r>
        <w:separator/>
      </w:r>
    </w:p>
  </w:footnote>
  <w:footnote w:type="continuationSeparator" w:id="0">
    <w:p w:rsidR="00746C7D" w:rsidRDefault="00746C7D" w:rsidP="00746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52"/>
      <w:gridCol w:w="2672"/>
      <w:gridCol w:w="2832"/>
    </w:tblGrid>
    <w:tr w:rsidR="00746C7D" w:rsidRPr="00645FBE" w:rsidTr="0077666B">
      <w:tc>
        <w:tcPr>
          <w:tcW w:w="3460" w:type="dxa"/>
          <w:shd w:val="clear" w:color="auto" w:fill="auto"/>
        </w:tcPr>
        <w:p w:rsidR="00746C7D" w:rsidRPr="00645FBE" w:rsidRDefault="00746C7D" w:rsidP="00746C7D">
          <w:pPr>
            <w:tabs>
              <w:tab w:val="center" w:pos="4680"/>
              <w:tab w:val="right" w:pos="9360"/>
            </w:tabs>
          </w:pPr>
          <w:r w:rsidRPr="00F446AB">
            <w:rPr>
              <w:noProof/>
            </w:rPr>
            <w:drawing>
              <wp:inline distT="0" distB="0" distL="0" distR="0">
                <wp:extent cx="1876425" cy="704850"/>
                <wp:effectExtent l="0" t="0" r="0" b="0"/>
                <wp:docPr id="1" name="Picture 1" descr="SF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C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704850"/>
                        </a:xfrm>
                        <a:prstGeom prst="rect">
                          <a:avLst/>
                        </a:prstGeom>
                        <a:noFill/>
                        <a:ln>
                          <a:noFill/>
                        </a:ln>
                      </pic:spPr>
                    </pic:pic>
                  </a:graphicData>
                </a:graphic>
              </wp:inline>
            </w:drawing>
          </w:r>
        </w:p>
      </w:tc>
      <w:tc>
        <w:tcPr>
          <w:tcW w:w="3461" w:type="dxa"/>
          <w:shd w:val="clear" w:color="auto" w:fill="auto"/>
        </w:tcPr>
        <w:p w:rsidR="00746C7D" w:rsidRPr="00966D9D" w:rsidRDefault="00746C7D" w:rsidP="00746C7D">
          <w:pPr>
            <w:tabs>
              <w:tab w:val="center" w:pos="4680"/>
              <w:tab w:val="right" w:pos="9360"/>
            </w:tabs>
            <w:jc w:val="center"/>
            <w:rPr>
              <w:b/>
            </w:rPr>
          </w:pPr>
          <w:r>
            <w:rPr>
              <w:b/>
            </w:rPr>
            <w:t>DMS</w:t>
          </w:r>
        </w:p>
        <w:p w:rsidR="00746C7D" w:rsidRPr="00966D9D" w:rsidRDefault="00746C7D" w:rsidP="00746C7D">
          <w:pPr>
            <w:tabs>
              <w:tab w:val="center" w:pos="4680"/>
              <w:tab w:val="right" w:pos="9360"/>
            </w:tabs>
            <w:jc w:val="center"/>
            <w:rPr>
              <w:b/>
            </w:rPr>
          </w:pPr>
          <w:r>
            <w:rPr>
              <w:b/>
            </w:rPr>
            <w:t>130 Course Objectives</w:t>
          </w:r>
        </w:p>
        <w:p w:rsidR="00746C7D" w:rsidRPr="00966D9D" w:rsidRDefault="00746C7D" w:rsidP="00746C7D">
          <w:pPr>
            <w:tabs>
              <w:tab w:val="center" w:pos="4680"/>
              <w:tab w:val="right" w:pos="9360"/>
            </w:tabs>
            <w:rPr>
              <w:b/>
            </w:rPr>
          </w:pPr>
        </w:p>
        <w:p w:rsidR="00746C7D" w:rsidRPr="00966D9D" w:rsidRDefault="00746C7D" w:rsidP="00746C7D">
          <w:pPr>
            <w:tabs>
              <w:tab w:val="center" w:pos="4680"/>
              <w:tab w:val="right" w:pos="9360"/>
            </w:tabs>
            <w:jc w:val="center"/>
            <w:rPr>
              <w:b/>
            </w:rPr>
          </w:pPr>
        </w:p>
      </w:tc>
      <w:tc>
        <w:tcPr>
          <w:tcW w:w="3461" w:type="dxa"/>
          <w:shd w:val="clear" w:color="auto" w:fill="auto"/>
        </w:tcPr>
        <w:p w:rsidR="00746C7D" w:rsidRPr="00645FBE" w:rsidRDefault="00746C7D" w:rsidP="00746C7D">
          <w:pPr>
            <w:tabs>
              <w:tab w:val="center" w:pos="4680"/>
              <w:tab w:val="right" w:pos="9360"/>
            </w:tabs>
          </w:pPr>
          <w:r>
            <w:rPr>
              <w:noProof/>
            </w:rPr>
            <w:drawing>
              <wp:anchor distT="0" distB="0" distL="114300" distR="114300" simplePos="0" relativeHeight="251657216" behindDoc="0" locked="0" layoutInCell="1" allowOverlap="1">
                <wp:simplePos x="0" y="0"/>
                <wp:positionH relativeFrom="margin">
                  <wp:align>center</wp:align>
                </wp:positionH>
                <wp:positionV relativeFrom="margin">
                  <wp:align>top</wp:align>
                </wp:positionV>
                <wp:extent cx="1000125" cy="745490"/>
                <wp:effectExtent l="0" t="0" r="0" b="0"/>
                <wp:wrapSquare wrapText="bothSides"/>
                <wp:docPr id="2" name="Picture 2" descr="MO_Health_Win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_Health_Wins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125" cy="7454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46C7D" w:rsidRDefault="00746C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71CC4"/>
    <w:multiLevelType w:val="hybridMultilevel"/>
    <w:tmpl w:val="485C4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8B4577"/>
    <w:rsid w:val="0050661F"/>
    <w:rsid w:val="006800DB"/>
    <w:rsid w:val="00746C7D"/>
    <w:rsid w:val="008B45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8C548F0-6000-44E4-8EB3-34FC690E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0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6800DB"/>
    <w:pPr>
      <w:ind w:left="720"/>
      <w:contextualSpacing/>
    </w:pPr>
  </w:style>
  <w:style w:type="paragraph" w:styleId="Header">
    <w:name w:val="header"/>
    <w:basedOn w:val="Normal"/>
    <w:link w:val="HeaderChar"/>
    <w:uiPriority w:val="99"/>
    <w:unhideWhenUsed/>
    <w:rsid w:val="00746C7D"/>
    <w:pPr>
      <w:tabs>
        <w:tab w:val="center" w:pos="4680"/>
        <w:tab w:val="right" w:pos="9360"/>
      </w:tabs>
    </w:pPr>
  </w:style>
  <w:style w:type="character" w:customStyle="1" w:styleId="HeaderChar">
    <w:name w:val="Header Char"/>
    <w:basedOn w:val="DefaultParagraphFont"/>
    <w:link w:val="Header"/>
    <w:uiPriority w:val="99"/>
    <w:rsid w:val="00746C7D"/>
  </w:style>
  <w:style w:type="paragraph" w:styleId="Footer">
    <w:name w:val="footer"/>
    <w:basedOn w:val="Normal"/>
    <w:link w:val="FooterChar"/>
    <w:uiPriority w:val="99"/>
    <w:unhideWhenUsed/>
    <w:rsid w:val="00746C7D"/>
    <w:pPr>
      <w:tabs>
        <w:tab w:val="center" w:pos="4680"/>
        <w:tab w:val="right" w:pos="9360"/>
      </w:tabs>
    </w:pPr>
  </w:style>
  <w:style w:type="character" w:customStyle="1" w:styleId="FooterChar">
    <w:name w:val="Footer Char"/>
    <w:basedOn w:val="DefaultParagraphFont"/>
    <w:link w:val="Footer"/>
    <w:uiPriority w:val="99"/>
    <w:rsid w:val="00746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Orrick</dc:creator>
  <cp:keywords/>
  <cp:lastModifiedBy>Wheeler, Kara</cp:lastModifiedBy>
  <cp:revision>3</cp:revision>
  <dcterms:created xsi:type="dcterms:W3CDTF">2015-06-30T21:09:00Z</dcterms:created>
  <dcterms:modified xsi:type="dcterms:W3CDTF">2015-06-30T21:37:00Z</dcterms:modified>
</cp:coreProperties>
</file>