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9D" w:rsidRDefault="00AD769D" w:rsidP="00AD769D">
      <w:pPr>
        <w:spacing w:after="0" w:line="240" w:lineRule="auto"/>
        <w:ind w:left="720"/>
        <w:rPr>
          <w:rFonts w:cs="Arial"/>
        </w:rPr>
      </w:pPr>
    </w:p>
    <w:p w:rsidR="001005CB" w:rsidRPr="001455AC" w:rsidRDefault="001005CB" w:rsidP="001005CB">
      <w:pPr>
        <w:spacing w:after="0" w:line="240" w:lineRule="auto"/>
        <w:rPr>
          <w:rFonts w:cs="Arial"/>
          <w:sz w:val="24"/>
        </w:rPr>
      </w:pPr>
      <w:r w:rsidRPr="001455AC">
        <w:rPr>
          <w:rFonts w:cs="Arial"/>
          <w:sz w:val="24"/>
        </w:rPr>
        <w:t xml:space="preserve">Students in online classes are required to take quizzes for each of five units and score at least 80% on each quiz.  Students may repeat quizzes as many times as needed/desired.  In addition, there is an ICD-10-PCS Test and a comprehensive Final Exam.  Quizzes include </w:t>
      </w:r>
      <w:r w:rsidR="00254C44">
        <w:rPr>
          <w:rFonts w:cs="Arial"/>
          <w:sz w:val="24"/>
        </w:rPr>
        <w:t xml:space="preserve">from 10-25 </w:t>
      </w:r>
      <w:r w:rsidRPr="001455AC">
        <w:rPr>
          <w:rFonts w:cs="Arial"/>
          <w:sz w:val="24"/>
        </w:rPr>
        <w:t>true/false, multiple choice, matching, and short answer coding questions.</w:t>
      </w:r>
      <w:r w:rsidR="00254C44">
        <w:rPr>
          <w:rFonts w:cs="Arial"/>
          <w:sz w:val="24"/>
        </w:rPr>
        <w:t xml:space="preserve">  The first four units are ascribed to ICD-10-CM.</w:t>
      </w:r>
    </w:p>
    <w:p w:rsidR="003F1F42" w:rsidRDefault="003F1F42" w:rsidP="003F1F42"/>
    <w:p w:rsidR="00254C44" w:rsidRDefault="00254C44" w:rsidP="003F1F42">
      <w:r>
        <w:t>Unit 5 Quiz covers the following:</w:t>
      </w:r>
    </w:p>
    <w:tbl>
      <w:tblPr>
        <w:tblStyle w:val="TableGrid"/>
        <w:tblW w:w="10255" w:type="dxa"/>
        <w:tblLayout w:type="fixed"/>
        <w:tblLook w:val="04A0" w:firstRow="1" w:lastRow="0" w:firstColumn="1" w:lastColumn="0" w:noHBand="0" w:noVBand="1"/>
      </w:tblPr>
      <w:tblGrid>
        <w:gridCol w:w="10255"/>
      </w:tblGrid>
      <w:tr w:rsidR="00254C44" w:rsidRPr="00CE3EA1" w:rsidTr="00254C44">
        <w:trPr>
          <w:trHeight w:val="665"/>
        </w:trPr>
        <w:tc>
          <w:tcPr>
            <w:tcW w:w="10255" w:type="dxa"/>
            <w:tcBorders>
              <w:bottom w:val="single" w:sz="4" w:space="0" w:color="auto"/>
            </w:tcBorders>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ICD-10-PCS History, Structure and Organization, etc.</w:t>
            </w:r>
          </w:p>
        </w:tc>
      </w:tr>
      <w:tr w:rsidR="00254C44" w:rsidRPr="00CE3EA1" w:rsidTr="00254C44">
        <w:trPr>
          <w:trHeight w:val="584"/>
        </w:trPr>
        <w:tc>
          <w:tcPr>
            <w:tcW w:w="10255" w:type="dxa"/>
            <w:tcBorders>
              <w:top w:val="single" w:sz="4" w:space="0" w:color="auto"/>
            </w:tcBorders>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 xml:space="preserve">Conventions </w:t>
            </w:r>
          </w:p>
        </w:tc>
      </w:tr>
      <w:tr w:rsidR="00254C44" w:rsidRPr="00CE3EA1" w:rsidTr="00254C44">
        <w:trPr>
          <w:trHeight w:val="494"/>
        </w:trPr>
        <w:tc>
          <w:tcPr>
            <w:tcW w:w="10255" w:type="dxa"/>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Guidelines</w:t>
            </w:r>
          </w:p>
        </w:tc>
      </w:tr>
      <w:tr w:rsidR="00254C44" w:rsidRPr="00CE3EA1" w:rsidTr="00254C44">
        <w:trPr>
          <w:trHeight w:val="611"/>
        </w:trPr>
        <w:tc>
          <w:tcPr>
            <w:tcW w:w="10255" w:type="dxa"/>
            <w:tcBorders>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Medical and Surgical Section-Overview</w:t>
            </w:r>
          </w:p>
        </w:tc>
      </w:tr>
      <w:tr w:rsidR="00254C44" w:rsidRPr="00CE3EA1" w:rsidTr="00254C44">
        <w:trPr>
          <w:trHeight w:val="719"/>
        </w:trPr>
        <w:tc>
          <w:tcPr>
            <w:tcW w:w="10255"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Root Operations that Take Out Some or All of a Body Part</w:t>
            </w:r>
          </w:p>
        </w:tc>
      </w:tr>
    </w:tbl>
    <w:p w:rsidR="00254C44" w:rsidRDefault="00254C44" w:rsidP="003F1F42"/>
    <w:p w:rsidR="00254C44" w:rsidRDefault="00254C44" w:rsidP="003F1F42">
      <w:r>
        <w:t>Unit 6 Quiz covers the following:</w:t>
      </w:r>
    </w:p>
    <w:tbl>
      <w:tblPr>
        <w:tblStyle w:val="TableGrid"/>
        <w:tblW w:w="10278" w:type="dxa"/>
        <w:tblLayout w:type="fixed"/>
        <w:tblLook w:val="04A0" w:firstRow="1" w:lastRow="0" w:firstColumn="1" w:lastColumn="0" w:noHBand="0" w:noVBand="1"/>
      </w:tblPr>
      <w:tblGrid>
        <w:gridCol w:w="10278"/>
      </w:tblGrid>
      <w:tr w:rsidR="00254C44" w:rsidRPr="00CE3EA1" w:rsidTr="00254C44">
        <w:trPr>
          <w:cantSplit/>
          <w:trHeight w:val="782"/>
        </w:trPr>
        <w:tc>
          <w:tcPr>
            <w:tcW w:w="10278"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Root Operations that Take Out Solids, Fluids, or Gases from a Body Part</w:t>
            </w:r>
          </w:p>
        </w:tc>
      </w:tr>
      <w:tr w:rsidR="00254C44" w:rsidRPr="00CE3EA1" w:rsidTr="00254C44">
        <w:trPr>
          <w:trHeight w:val="701"/>
        </w:trPr>
        <w:tc>
          <w:tcPr>
            <w:tcW w:w="10278"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Root Operations Involving Cutting or Separation Only</w:t>
            </w:r>
          </w:p>
        </w:tc>
      </w:tr>
      <w:tr w:rsidR="00254C44" w:rsidRPr="00CE3EA1" w:rsidTr="00254C44">
        <w:trPr>
          <w:trHeight w:val="701"/>
        </w:trPr>
        <w:tc>
          <w:tcPr>
            <w:tcW w:w="10278" w:type="dxa"/>
            <w:tcBorders>
              <w:top w:val="single" w:sz="4" w:space="0" w:color="auto"/>
              <w:bottom w:val="single" w:sz="4" w:space="0" w:color="auto"/>
            </w:tcBorders>
            <w:shd w:val="clear" w:color="auto" w:fill="auto"/>
            <w:vAlign w:val="center"/>
          </w:tcPr>
          <w:p w:rsidR="00254C44" w:rsidRDefault="00254C44" w:rsidP="00254C44">
            <w:r w:rsidRPr="00A65A26">
              <w:rPr>
                <w:rFonts w:ascii="Arial" w:hAnsi="Arial" w:cs="Arial"/>
                <w:sz w:val="22"/>
                <w:szCs w:val="22"/>
              </w:rPr>
              <w:t>Root Operations that Put In/Put Back or Move Some/All of a Body Part</w:t>
            </w:r>
          </w:p>
        </w:tc>
      </w:tr>
    </w:tbl>
    <w:p w:rsidR="00254C44" w:rsidRDefault="00254C44" w:rsidP="003F1F42"/>
    <w:p w:rsidR="00254C44" w:rsidRDefault="00254C44" w:rsidP="003F1F42">
      <w:r>
        <w:t>Unit 7 Quiz covers the following:</w:t>
      </w:r>
    </w:p>
    <w:tbl>
      <w:tblPr>
        <w:tblStyle w:val="TableGrid"/>
        <w:tblW w:w="10278" w:type="dxa"/>
        <w:tblLayout w:type="fixed"/>
        <w:tblLook w:val="04A0" w:firstRow="1" w:lastRow="0" w:firstColumn="1" w:lastColumn="0" w:noHBand="0" w:noVBand="1"/>
      </w:tblPr>
      <w:tblGrid>
        <w:gridCol w:w="10278"/>
      </w:tblGrid>
      <w:tr w:rsidR="00254C44" w:rsidRPr="00CE3EA1" w:rsidTr="009D521C">
        <w:trPr>
          <w:trHeight w:val="629"/>
        </w:trPr>
        <w:tc>
          <w:tcPr>
            <w:tcW w:w="10278"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Root Operations that Alter the Diameter/Route of a Tubular Body Part</w:t>
            </w:r>
          </w:p>
        </w:tc>
      </w:tr>
      <w:tr w:rsidR="00254C44" w:rsidRPr="00CE3EA1" w:rsidTr="009D521C">
        <w:trPr>
          <w:trHeight w:val="720"/>
        </w:trPr>
        <w:tc>
          <w:tcPr>
            <w:tcW w:w="10278"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Root Operations that Always Involve a Device</w:t>
            </w:r>
          </w:p>
        </w:tc>
      </w:tr>
      <w:tr w:rsidR="00254C44" w:rsidRPr="00CE3EA1" w:rsidTr="009D521C">
        <w:trPr>
          <w:trHeight w:val="647"/>
        </w:trPr>
        <w:tc>
          <w:tcPr>
            <w:tcW w:w="10278"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Root Operations Involving Examination Only</w:t>
            </w:r>
          </w:p>
        </w:tc>
      </w:tr>
      <w:tr w:rsidR="00254C44" w:rsidRPr="00CE3EA1" w:rsidTr="009D521C">
        <w:trPr>
          <w:trHeight w:val="647"/>
        </w:trPr>
        <w:tc>
          <w:tcPr>
            <w:tcW w:w="10278"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lastRenderedPageBreak/>
              <w:t>Root Operations that Define Other Repairs</w:t>
            </w:r>
          </w:p>
        </w:tc>
      </w:tr>
      <w:tr w:rsidR="00254C44" w:rsidRPr="00CE3EA1" w:rsidTr="009D521C">
        <w:trPr>
          <w:trHeight w:val="647"/>
        </w:trPr>
        <w:tc>
          <w:tcPr>
            <w:tcW w:w="10278" w:type="dxa"/>
            <w:tcBorders>
              <w:top w:val="single" w:sz="4" w:space="0" w:color="auto"/>
              <w:bottom w:val="single" w:sz="4" w:space="0" w:color="auto"/>
            </w:tcBorders>
            <w:shd w:val="clear" w:color="auto" w:fill="auto"/>
            <w:vAlign w:val="center"/>
          </w:tcPr>
          <w:p w:rsidR="00254C44" w:rsidRPr="00CE3EA1" w:rsidRDefault="00254C44" w:rsidP="00960BE4">
            <w:pPr>
              <w:pStyle w:val="ListParagraph"/>
              <w:ind w:left="0"/>
              <w:rPr>
                <w:rFonts w:ascii="Arial" w:hAnsi="Arial" w:cs="Arial"/>
                <w:sz w:val="22"/>
                <w:szCs w:val="22"/>
              </w:rPr>
            </w:pPr>
            <w:r w:rsidRPr="00CE3EA1">
              <w:rPr>
                <w:rFonts w:ascii="Arial" w:hAnsi="Arial" w:cs="Arial"/>
                <w:sz w:val="22"/>
                <w:szCs w:val="22"/>
              </w:rPr>
              <w:t>Root Operations that Define Other Objectives</w:t>
            </w:r>
          </w:p>
        </w:tc>
      </w:tr>
    </w:tbl>
    <w:p w:rsidR="00254C44" w:rsidRDefault="00254C44" w:rsidP="003F1F42"/>
    <w:p w:rsidR="009D521C" w:rsidRDefault="009D521C" w:rsidP="003F1F42">
      <w:r>
        <w:t>Unit 8 Quiz covers the following:</w:t>
      </w:r>
    </w:p>
    <w:tbl>
      <w:tblPr>
        <w:tblStyle w:val="TableGrid"/>
        <w:tblW w:w="10278" w:type="dxa"/>
        <w:tblLayout w:type="fixed"/>
        <w:tblLook w:val="04A0" w:firstRow="1" w:lastRow="0" w:firstColumn="1" w:lastColumn="0" w:noHBand="0" w:noVBand="1"/>
      </w:tblPr>
      <w:tblGrid>
        <w:gridCol w:w="10278"/>
      </w:tblGrid>
      <w:tr w:rsidR="009D521C" w:rsidRPr="00CE3EA1" w:rsidTr="009D521C">
        <w:trPr>
          <w:trHeight w:val="575"/>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Medical and Surgical-</w:t>
            </w:r>
            <w:r w:rsidRPr="00DF62AE">
              <w:rPr>
                <w:rFonts w:ascii="Arial" w:hAnsi="Arial" w:cs="Arial"/>
                <w:b/>
                <w:i/>
                <w:sz w:val="22"/>
                <w:szCs w:val="22"/>
              </w:rPr>
              <w:t xml:space="preserve">Related </w:t>
            </w:r>
            <w:r w:rsidRPr="00CE3EA1">
              <w:rPr>
                <w:rFonts w:ascii="Arial" w:hAnsi="Arial" w:cs="Arial"/>
                <w:sz w:val="22"/>
                <w:szCs w:val="22"/>
              </w:rPr>
              <w:t>Section-Overview</w:t>
            </w:r>
          </w:p>
        </w:tc>
      </w:tr>
      <w:tr w:rsidR="009D521C" w:rsidRPr="00CE3EA1" w:rsidTr="009D521C">
        <w:trPr>
          <w:trHeight w:val="611"/>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Obstetrics</w:t>
            </w:r>
          </w:p>
        </w:tc>
      </w:tr>
      <w:tr w:rsidR="009D521C" w:rsidRPr="00CE3EA1" w:rsidTr="009D521C">
        <w:trPr>
          <w:trHeight w:val="620"/>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Placement</w:t>
            </w:r>
          </w:p>
        </w:tc>
      </w:tr>
      <w:tr w:rsidR="009D521C" w:rsidRPr="00CE3EA1" w:rsidTr="009D521C">
        <w:trPr>
          <w:trHeight w:val="620"/>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Administration</w:t>
            </w:r>
          </w:p>
        </w:tc>
      </w:tr>
      <w:tr w:rsidR="009D521C" w:rsidRPr="00CE3EA1" w:rsidTr="009D521C">
        <w:trPr>
          <w:trHeight w:val="620"/>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Measurement and Monitoring</w:t>
            </w:r>
          </w:p>
        </w:tc>
      </w:tr>
      <w:tr w:rsidR="009D521C" w:rsidRPr="00CE3EA1" w:rsidTr="009D521C">
        <w:trPr>
          <w:trHeight w:val="683"/>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Extracorporeal Assistance and Performance</w:t>
            </w:r>
          </w:p>
        </w:tc>
      </w:tr>
      <w:tr w:rsidR="009D521C" w:rsidRPr="00CE3EA1" w:rsidTr="009D521C">
        <w:trPr>
          <w:trHeight w:val="710"/>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Extracorporeal Therapies</w:t>
            </w:r>
          </w:p>
        </w:tc>
      </w:tr>
      <w:tr w:rsidR="009D521C" w:rsidRPr="00CE3EA1" w:rsidTr="009D521C">
        <w:trPr>
          <w:trHeight w:val="656"/>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Osteopathic</w:t>
            </w:r>
          </w:p>
        </w:tc>
      </w:tr>
      <w:tr w:rsidR="009D521C" w:rsidRPr="00CE3EA1" w:rsidTr="009D521C">
        <w:trPr>
          <w:trHeight w:val="656"/>
        </w:trPr>
        <w:tc>
          <w:tcPr>
            <w:tcW w:w="5735"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Other Procedures</w:t>
            </w:r>
          </w:p>
        </w:tc>
      </w:tr>
      <w:tr w:rsidR="009D521C" w:rsidRPr="00CE3EA1" w:rsidTr="009D521C">
        <w:trPr>
          <w:trHeight w:val="736"/>
        </w:trPr>
        <w:tc>
          <w:tcPr>
            <w:tcW w:w="5735" w:type="dxa"/>
            <w:tcBorders>
              <w:top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Chiropractic</w:t>
            </w:r>
          </w:p>
        </w:tc>
      </w:tr>
    </w:tbl>
    <w:p w:rsidR="009D521C" w:rsidRDefault="009D521C" w:rsidP="003F1F42"/>
    <w:p w:rsidR="009D521C" w:rsidRDefault="009D521C" w:rsidP="003F1F42">
      <w:r>
        <w:t>Unit 9 Quiz covers the following:</w:t>
      </w:r>
    </w:p>
    <w:tbl>
      <w:tblPr>
        <w:tblStyle w:val="TableGrid"/>
        <w:tblW w:w="10278" w:type="dxa"/>
        <w:tblLayout w:type="fixed"/>
        <w:tblLook w:val="04A0" w:firstRow="1" w:lastRow="0" w:firstColumn="1" w:lastColumn="0" w:noHBand="0" w:noVBand="1"/>
      </w:tblPr>
      <w:tblGrid>
        <w:gridCol w:w="10278"/>
      </w:tblGrid>
      <w:tr w:rsidR="009D521C" w:rsidRPr="00CE3EA1" w:rsidTr="009D521C">
        <w:trPr>
          <w:trHeight w:val="656"/>
        </w:trPr>
        <w:tc>
          <w:tcPr>
            <w:tcW w:w="10278"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Ancillary Section-Overview</w:t>
            </w:r>
          </w:p>
        </w:tc>
      </w:tr>
      <w:tr w:rsidR="009D521C" w:rsidRPr="00CE3EA1" w:rsidTr="009D521C">
        <w:trPr>
          <w:trHeight w:val="656"/>
        </w:trPr>
        <w:tc>
          <w:tcPr>
            <w:tcW w:w="10278"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Imaging</w:t>
            </w:r>
          </w:p>
        </w:tc>
      </w:tr>
      <w:tr w:rsidR="009D521C" w:rsidRPr="00CE3EA1" w:rsidTr="009D521C">
        <w:trPr>
          <w:trHeight w:val="690"/>
        </w:trPr>
        <w:tc>
          <w:tcPr>
            <w:tcW w:w="10278"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Nuclear Medicine</w:t>
            </w:r>
          </w:p>
        </w:tc>
      </w:tr>
      <w:tr w:rsidR="009D521C" w:rsidRPr="00CE3EA1" w:rsidTr="009D521C">
        <w:trPr>
          <w:trHeight w:val="656"/>
        </w:trPr>
        <w:tc>
          <w:tcPr>
            <w:tcW w:w="10278"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lastRenderedPageBreak/>
              <w:t>Root Operations:  Radiation Oncology</w:t>
            </w:r>
          </w:p>
        </w:tc>
      </w:tr>
      <w:tr w:rsidR="009D521C" w:rsidRPr="00CE3EA1" w:rsidTr="009D521C">
        <w:trPr>
          <w:trHeight w:val="683"/>
        </w:trPr>
        <w:tc>
          <w:tcPr>
            <w:tcW w:w="10278"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Physical Rehabilitation and Diagnostic Audiology</w:t>
            </w:r>
          </w:p>
        </w:tc>
      </w:tr>
      <w:tr w:rsidR="009D521C" w:rsidRPr="00CE3EA1" w:rsidTr="009D521C">
        <w:trPr>
          <w:trHeight w:val="719"/>
        </w:trPr>
        <w:tc>
          <w:tcPr>
            <w:tcW w:w="10278"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sidRPr="00CE3EA1">
              <w:rPr>
                <w:rFonts w:ascii="Arial" w:hAnsi="Arial" w:cs="Arial"/>
                <w:sz w:val="22"/>
                <w:szCs w:val="22"/>
              </w:rPr>
              <w:t>Root Operations:  Mental Health</w:t>
            </w:r>
          </w:p>
        </w:tc>
      </w:tr>
      <w:tr w:rsidR="009D521C" w:rsidRPr="00CE3EA1" w:rsidTr="009D521C">
        <w:trPr>
          <w:trHeight w:val="521"/>
        </w:trPr>
        <w:tc>
          <w:tcPr>
            <w:tcW w:w="10278" w:type="dxa"/>
            <w:tcBorders>
              <w:top w:val="single" w:sz="4" w:space="0" w:color="auto"/>
              <w:bottom w:val="single" w:sz="4" w:space="0" w:color="auto"/>
            </w:tcBorders>
            <w:shd w:val="clear" w:color="auto" w:fill="auto"/>
            <w:vAlign w:val="center"/>
          </w:tcPr>
          <w:p w:rsidR="009D521C" w:rsidRPr="00CE3EA1" w:rsidRDefault="009D521C" w:rsidP="00960BE4">
            <w:pPr>
              <w:pStyle w:val="ListParagraph"/>
              <w:ind w:left="0"/>
              <w:rPr>
                <w:rFonts w:ascii="Arial" w:hAnsi="Arial" w:cs="Arial"/>
                <w:sz w:val="22"/>
                <w:szCs w:val="22"/>
              </w:rPr>
            </w:pPr>
            <w:r>
              <w:rPr>
                <w:rFonts w:ascii="Arial" w:hAnsi="Arial" w:cs="Arial"/>
                <w:sz w:val="22"/>
                <w:szCs w:val="22"/>
              </w:rPr>
              <w:t>Root Operations:  Substance Abuse Treatment</w:t>
            </w:r>
          </w:p>
        </w:tc>
      </w:tr>
    </w:tbl>
    <w:p w:rsidR="009D521C" w:rsidRDefault="009D521C" w:rsidP="003F1F42"/>
    <w:p w:rsidR="001E0481" w:rsidRDefault="001E0481" w:rsidP="003F1F42">
      <w:r>
        <w:t>ICD-10-PCS is a comprehensive test over all areas of ICD-10-PCS.</w:t>
      </w:r>
    </w:p>
    <w:p w:rsidR="003F1F42" w:rsidRDefault="003F1F42" w:rsidP="003F1F42">
      <w:r>
        <w:t xml:space="preserve">A comprehensive final exam </w:t>
      </w:r>
      <w:r w:rsidR="001E0481">
        <w:t xml:space="preserve">covering ICD-10-CM and ICD-10-PCS </w:t>
      </w:r>
      <w:r>
        <w:t>completes this course.</w:t>
      </w:r>
    </w:p>
    <w:p w:rsidR="00894D57" w:rsidRDefault="00894D57" w:rsidP="003F1F42"/>
    <w:p w:rsidR="00894D57" w:rsidRDefault="00894D57" w:rsidP="003F1F42"/>
    <w:p w:rsidR="00894D57" w:rsidRDefault="00894D57" w:rsidP="003F1F42"/>
    <w:p w:rsidR="00894D57" w:rsidRDefault="00894D57" w:rsidP="003F1F42"/>
    <w:p w:rsidR="00894D57" w:rsidRDefault="00894D57" w:rsidP="003F1F42"/>
    <w:p w:rsidR="00894D57" w:rsidRDefault="00894D57" w:rsidP="003F1F42"/>
    <w:p w:rsidR="00894D57" w:rsidRDefault="00894D57" w:rsidP="003F1F42"/>
    <w:p w:rsidR="00894D57" w:rsidRDefault="00894D57" w:rsidP="003F1F42"/>
    <w:p w:rsidR="00894D57" w:rsidRDefault="00894D57" w:rsidP="003F1F42"/>
    <w:p w:rsidR="00A7130C" w:rsidRDefault="00A7130C" w:rsidP="003F1F42">
      <w:bookmarkStart w:id="0" w:name="_GoBack"/>
      <w:bookmarkEnd w:id="0"/>
    </w:p>
    <w:p w:rsidR="00894D57" w:rsidRDefault="00894D57" w:rsidP="003F1F42"/>
    <w:p w:rsidR="00894D57" w:rsidRDefault="00894D57" w:rsidP="003F1F42"/>
    <w:p w:rsidR="00894D57" w:rsidRDefault="00894D57" w:rsidP="003F1F42"/>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894D57" w:rsidRPr="00CB6EB9" w:rsidTr="006615FD">
        <w:trPr>
          <w:trHeight w:val="825"/>
        </w:trPr>
        <w:tc>
          <w:tcPr>
            <w:tcW w:w="959" w:type="dxa"/>
            <w:vAlign w:val="center"/>
          </w:tcPr>
          <w:p w:rsidR="00894D57" w:rsidRPr="003E7CAA" w:rsidRDefault="00894D57" w:rsidP="006615FD">
            <w:pPr>
              <w:rPr>
                <w:iCs/>
                <w:color w:val="1F497D"/>
                <w:szCs w:val="18"/>
              </w:rPr>
            </w:pPr>
          </w:p>
          <w:p w:rsidR="00894D57" w:rsidRPr="00CB6EB9" w:rsidRDefault="00894D57" w:rsidP="006615FD">
            <w:pPr>
              <w:rPr>
                <w:i/>
                <w:iCs/>
                <w:color w:val="1F497D"/>
                <w:szCs w:val="18"/>
              </w:rPr>
            </w:pPr>
            <w:r w:rsidRPr="00CB6EB9">
              <w:rPr>
                <w:i/>
                <w:noProof/>
                <w:color w:val="1F497D"/>
                <w:szCs w:val="18"/>
              </w:rPr>
              <w:drawing>
                <wp:inline distT="0" distB="0" distL="0" distR="0" wp14:anchorId="2B1EE8C5" wp14:editId="5BD49FC1">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894D57" w:rsidRDefault="00894D57" w:rsidP="006615FD">
            <w:pPr>
              <w:rPr>
                <w:i/>
                <w:iCs/>
                <w:color w:val="1F497D"/>
              </w:rPr>
            </w:pPr>
            <w:proofErr w:type="spellStart"/>
            <w:r w:rsidRPr="001353F0">
              <w:rPr>
                <w:i/>
                <w:iCs/>
                <w:color w:val="1F497D"/>
              </w:rPr>
              <w:t>MoHealthWINs</w:t>
            </w:r>
            <w:proofErr w:type="spellEnd"/>
          </w:p>
          <w:p w:rsidR="00894D57" w:rsidRPr="001353F0" w:rsidRDefault="00894D57" w:rsidP="006615FD">
            <w:pPr>
              <w:rPr>
                <w:i/>
                <w:iCs/>
                <w:color w:val="1F497D"/>
                <w:sz w:val="12"/>
              </w:rPr>
            </w:pPr>
          </w:p>
        </w:tc>
      </w:tr>
    </w:tbl>
    <w:p w:rsidR="00894D57" w:rsidRDefault="00894D57" w:rsidP="00894D57">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894D57" w:rsidRDefault="00894D57" w:rsidP="00894D57">
      <w:pPr>
        <w:pStyle w:val="Footer"/>
      </w:pPr>
    </w:p>
    <w:p w:rsidR="00894D57" w:rsidRDefault="00894D57" w:rsidP="00894D57">
      <w:r w:rsidRPr="00C52F01">
        <w:rPr>
          <w:noProof/>
          <w:szCs w:val="20"/>
        </w:rPr>
        <w:drawing>
          <wp:inline distT="0" distB="0" distL="0" distR="0" wp14:anchorId="070183AC" wp14:editId="60252377">
            <wp:extent cx="666750" cy="23328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305" cy="248169"/>
                    </a:xfrm>
                    <a:prstGeom prst="rect">
                      <a:avLst/>
                    </a:prstGeom>
                  </pic:spPr>
                </pic:pic>
              </a:graphicData>
            </a:graphic>
          </wp:inline>
        </w:drawing>
      </w:r>
      <w:r w:rsidRPr="00C52F01">
        <w:rPr>
          <w:szCs w:val="20"/>
        </w:rPr>
        <w:t xml:space="preserve"> This work is licensed under the </w:t>
      </w:r>
      <w:hyperlink r:id="rId10" w:history="1">
        <w:r>
          <w:rPr>
            <w:rStyle w:val="Hyperlink"/>
            <w:color w:val="0000FF"/>
            <w:szCs w:val="20"/>
          </w:rPr>
          <w:t>Creative Commons Attribution 3.0 Unported License</w:t>
        </w:r>
      </w:hyperlink>
      <w:r w:rsidRPr="00C52F01">
        <w:rPr>
          <w:color w:val="0000FF"/>
          <w:szCs w:val="20"/>
        </w:rPr>
        <w:t>.</w:t>
      </w:r>
    </w:p>
    <w:sectPr w:rsidR="00894D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0D" w:rsidRDefault="001F290D" w:rsidP="00894D57">
      <w:pPr>
        <w:spacing w:after="0" w:line="240" w:lineRule="auto"/>
      </w:pPr>
      <w:r>
        <w:separator/>
      </w:r>
    </w:p>
  </w:endnote>
  <w:endnote w:type="continuationSeparator" w:id="0">
    <w:p w:rsidR="001F290D" w:rsidRDefault="001F290D" w:rsidP="0089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57" w:rsidRDefault="00894D57">
    <w:pPr>
      <w:pStyle w:val="Footer"/>
    </w:pPr>
    <w:r>
      <w:ptab w:relativeTo="margin" w:alignment="center" w:leader="none"/>
    </w:r>
    <w:r>
      <w:fldChar w:fldCharType="begin"/>
    </w:r>
    <w:r>
      <w:instrText xml:space="preserve"> PAGE   \* MERGEFORMAT </w:instrText>
    </w:r>
    <w:r>
      <w:fldChar w:fldCharType="separate"/>
    </w:r>
    <w:r w:rsidR="00A7130C">
      <w:rPr>
        <w:noProof/>
      </w:rPr>
      <w:t>2</w:t>
    </w:r>
    <w:r>
      <w:rPr>
        <w:noProof/>
      </w:rPr>
      <w:fldChar w:fldCharType="end"/>
    </w:r>
    <w:r>
      <w:ptab w:relativeTo="margin" w:alignment="right" w:leader="none"/>
    </w:r>
    <w:r w:rsidR="001F290D">
      <w:fldChar w:fldCharType="begin"/>
    </w:r>
    <w:r w:rsidR="001F290D">
      <w:instrText xml:space="preserve"> FILENAME \* MERGEFORMAT </w:instrText>
    </w:r>
    <w:r w:rsidR="001F290D">
      <w:fldChar w:fldCharType="separate"/>
    </w:r>
    <w:r w:rsidR="007538E7">
      <w:rPr>
        <w:noProof/>
      </w:rPr>
      <w:t>icd_pcs_course_assessment_tools</w:t>
    </w:r>
    <w:r w:rsidR="001F290D">
      <w:rPr>
        <w:noProof/>
      </w:rPr>
      <w:fldChar w:fldCharType="end"/>
    </w:r>
    <w:r w:rsidR="007538E7">
      <w:t>.</w:t>
    </w:r>
    <w:proofErr w:type="spellStart"/>
    <w:r w:rsidR="007538E7">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0D" w:rsidRDefault="001F290D" w:rsidP="00894D57">
      <w:pPr>
        <w:spacing w:after="0" w:line="240" w:lineRule="auto"/>
      </w:pPr>
      <w:r>
        <w:separator/>
      </w:r>
    </w:p>
  </w:footnote>
  <w:footnote w:type="continuationSeparator" w:id="0">
    <w:p w:rsidR="001F290D" w:rsidRDefault="001F290D" w:rsidP="00894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894D57" w:rsidRPr="00CD3682" w:rsidTr="006615FD">
      <w:trPr>
        <w:trHeight w:val="903"/>
        <w:jc w:val="center"/>
      </w:trPr>
      <w:tc>
        <w:tcPr>
          <w:tcW w:w="3340" w:type="dxa"/>
          <w:vAlign w:val="center"/>
        </w:tcPr>
        <w:p w:rsidR="00894D57" w:rsidRPr="00CD3682" w:rsidRDefault="00894D57" w:rsidP="00894D57">
          <w:pPr>
            <w:pStyle w:val="Header"/>
            <w:ind w:right="336"/>
            <w:rPr>
              <w:b/>
            </w:rPr>
          </w:pPr>
          <w:r>
            <w:rPr>
              <w:rFonts w:ascii="Calibri" w:hAnsi="Calibri"/>
              <w:noProof/>
            </w:rPr>
            <w:drawing>
              <wp:inline distT="0" distB="0" distL="0" distR="0" wp14:anchorId="680B8130" wp14:editId="1C680ABF">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894D57" w:rsidRPr="00A92E45" w:rsidRDefault="00894D57" w:rsidP="00894D57">
          <w:pPr>
            <w:tabs>
              <w:tab w:val="left" w:pos="2461"/>
              <w:tab w:val="center" w:pos="4179"/>
              <w:tab w:val="left" w:pos="5526"/>
            </w:tabs>
            <w:jc w:val="center"/>
            <w:rPr>
              <w:rFonts w:ascii="Calibri" w:hAnsi="Calibri" w:cs="Arial"/>
              <w:sz w:val="28"/>
              <w:szCs w:val="28"/>
            </w:rPr>
          </w:pPr>
          <w:r>
            <w:rPr>
              <w:rFonts w:ascii="Calibri" w:hAnsi="Calibri" w:cs="Arial"/>
              <w:sz w:val="28"/>
              <w:szCs w:val="28"/>
            </w:rPr>
            <w:t>ICD-10-PCS</w:t>
          </w:r>
        </w:p>
        <w:p w:rsidR="00894D57" w:rsidRPr="00A92E45" w:rsidRDefault="00894D57" w:rsidP="00894D57">
          <w:pPr>
            <w:tabs>
              <w:tab w:val="left" w:pos="2461"/>
              <w:tab w:val="center" w:pos="4179"/>
              <w:tab w:val="left" w:pos="5526"/>
            </w:tabs>
            <w:jc w:val="center"/>
            <w:rPr>
              <w:rFonts w:ascii="Calibri" w:hAnsi="Calibri" w:cs="Arial"/>
              <w:sz w:val="28"/>
              <w:szCs w:val="28"/>
            </w:rPr>
          </w:pPr>
          <w:r w:rsidRPr="00A92E45">
            <w:rPr>
              <w:rFonts w:ascii="Calibri" w:hAnsi="Calibri" w:cs="Arial"/>
              <w:sz w:val="28"/>
              <w:szCs w:val="28"/>
            </w:rPr>
            <w:t>Coding Courses</w:t>
          </w:r>
        </w:p>
        <w:p w:rsidR="00894D57" w:rsidRPr="00894D57" w:rsidRDefault="00894D57" w:rsidP="00894D57">
          <w:pPr>
            <w:jc w:val="center"/>
            <w:rPr>
              <w:rFonts w:ascii="Calibri" w:hAnsi="Calibri" w:cs="Arial"/>
              <w:sz w:val="28"/>
              <w:szCs w:val="28"/>
            </w:rPr>
          </w:pPr>
          <w:r>
            <w:rPr>
              <w:rFonts w:ascii="Calibri" w:hAnsi="Calibri" w:cs="Arial"/>
              <w:sz w:val="28"/>
              <w:szCs w:val="28"/>
            </w:rPr>
            <w:t>Assessment Tools</w:t>
          </w:r>
        </w:p>
      </w:tc>
      <w:tc>
        <w:tcPr>
          <w:tcW w:w="2813" w:type="dxa"/>
          <w:vAlign w:val="center"/>
        </w:tcPr>
        <w:p w:rsidR="00894D57" w:rsidRPr="00EF5BC4" w:rsidRDefault="00894D57" w:rsidP="00894D57">
          <w:pPr>
            <w:pStyle w:val="Header"/>
            <w:jc w:val="right"/>
            <w:rPr>
              <w:b/>
            </w:rPr>
          </w:pPr>
        </w:p>
      </w:tc>
    </w:tr>
  </w:tbl>
  <w:p w:rsidR="00894D57" w:rsidRPr="00894D57" w:rsidRDefault="00894D57" w:rsidP="00894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66880"/>
    <w:multiLevelType w:val="hybridMultilevel"/>
    <w:tmpl w:val="70D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A1"/>
    <w:rsid w:val="001005CB"/>
    <w:rsid w:val="001C0858"/>
    <w:rsid w:val="001E0481"/>
    <w:rsid w:val="001F290D"/>
    <w:rsid w:val="00254C44"/>
    <w:rsid w:val="003F1F42"/>
    <w:rsid w:val="00425365"/>
    <w:rsid w:val="005502DA"/>
    <w:rsid w:val="005C7BD1"/>
    <w:rsid w:val="00606D93"/>
    <w:rsid w:val="006248AC"/>
    <w:rsid w:val="0066660F"/>
    <w:rsid w:val="007538E7"/>
    <w:rsid w:val="00894D57"/>
    <w:rsid w:val="009D4B66"/>
    <w:rsid w:val="009D521C"/>
    <w:rsid w:val="00A30BF4"/>
    <w:rsid w:val="00A7130C"/>
    <w:rsid w:val="00AC3D55"/>
    <w:rsid w:val="00AD769D"/>
    <w:rsid w:val="00E243F7"/>
    <w:rsid w:val="00E90ED1"/>
    <w:rsid w:val="00F9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ECDA-6CFE-4FB9-8DCE-5C29CA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9D"/>
    <w:pPr>
      <w:ind w:left="720"/>
      <w:contextualSpacing/>
    </w:pPr>
  </w:style>
  <w:style w:type="table" w:styleId="TableGrid">
    <w:name w:val="Table Grid"/>
    <w:basedOn w:val="TableNormal"/>
    <w:rsid w:val="003F1F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57"/>
  </w:style>
  <w:style w:type="paragraph" w:styleId="Footer">
    <w:name w:val="footer"/>
    <w:basedOn w:val="Normal"/>
    <w:link w:val="FooterChar"/>
    <w:uiPriority w:val="99"/>
    <w:unhideWhenUsed/>
    <w:rsid w:val="0089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57"/>
  </w:style>
  <w:style w:type="character" w:styleId="Hyperlink">
    <w:name w:val="Hyperlink"/>
    <w:basedOn w:val="DefaultParagraphFont"/>
    <w:uiPriority w:val="99"/>
    <w:unhideWhenUsed/>
    <w:rsid w:val="00894D57"/>
    <w:rPr>
      <w:color w:val="0563C1" w:themeColor="hyperlink"/>
      <w:u w:val="single"/>
    </w:rPr>
  </w:style>
  <w:style w:type="table" w:customStyle="1" w:styleId="TableGrid2">
    <w:name w:val="Table Grid2"/>
    <w:basedOn w:val="TableNormal"/>
    <w:next w:val="TableGrid"/>
    <w:uiPriority w:val="59"/>
    <w:rsid w:val="00894D57"/>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5</cp:revision>
  <dcterms:created xsi:type="dcterms:W3CDTF">2014-07-21T14:53:00Z</dcterms:created>
  <dcterms:modified xsi:type="dcterms:W3CDTF">2015-05-26T17:59:00Z</dcterms:modified>
</cp:coreProperties>
</file>