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417" w:rsidRDefault="00714EB7">
      <w:r>
        <w:t xml:space="preserve">As we mentioned, the tests, exams and quizzes, you’re expected to score 80%.  By doing this, we have a reasonable assumption that you’ve spent some time with the materials and have earned your </w:t>
      </w:r>
    </w:p>
    <w:p w:rsidR="00562417" w:rsidRDefault="00714EB7">
      <w:r>
        <w:t xml:space="preserve">Continuing Education credits.  So, once you’ve submitted your final exam, I will send you a CE certificate worth 32 Continuing Education hours.   </w:t>
      </w:r>
    </w:p>
    <w:p w:rsidR="00562417" w:rsidRDefault="00714EB7">
      <w:pPr>
        <w:spacing w:line="240" w:lineRule="auto"/>
        <w:ind w:left="0" w:firstLine="0"/>
      </w:pPr>
      <w:r>
        <w:t xml:space="preserve"> </w:t>
      </w:r>
    </w:p>
    <w:p w:rsidR="00562417" w:rsidRDefault="00714EB7">
      <w:r>
        <w:t xml:space="preserve">You’re expected to purchase the Coder Training Manuals, both the ICD-10-CM and the ICD-10-PCS manuals.  The files, the –CM and –PCS files that we’ll be using, however, will be computer files.  They are in .pdf format and they are available either on this webpage or directly from the source, the Center for Medicare and Medicaid Services or the Center for Disease Control.  </w:t>
      </w:r>
    </w:p>
    <w:p w:rsidR="00562417" w:rsidRDefault="00714EB7">
      <w:pPr>
        <w:spacing w:line="240" w:lineRule="auto"/>
        <w:ind w:left="0" w:firstLine="0"/>
      </w:pPr>
      <w:r>
        <w:t xml:space="preserve"> </w:t>
      </w:r>
    </w:p>
    <w:p w:rsidR="00562417" w:rsidRDefault="00714EB7">
      <w:r>
        <w:t xml:space="preserve">I’ll let you read the course objectives for yourself.   </w:t>
      </w:r>
    </w:p>
    <w:p w:rsidR="00562417" w:rsidRDefault="00714EB7">
      <w:pPr>
        <w:spacing w:line="240" w:lineRule="auto"/>
        <w:ind w:left="0" w:firstLine="0"/>
      </w:pPr>
      <w:r>
        <w:t xml:space="preserve"> </w:t>
      </w:r>
    </w:p>
    <w:p w:rsidR="00562417" w:rsidRDefault="00714EB7">
      <w:r>
        <w:t>The sequence of course units, they are set up as check lists so you can check off the point where you are and always keep track of where you’re going.  The item numbers are strictly for reference purposes.  Topics are self-explanatory.  And then the corresponding pages, the red pages come from the ICD-10 Guidelines, if you want to use those for reference.  If you are using the Comparison Pages, then you really didn’t have a need to look in the Guidelines.  But that’s what those reference.  The black numbers are referencing pages from your Training Manual.  And as you can see, the sequence maps out when the quizzes will be take</w:t>
      </w:r>
      <w:r w:rsidR="004F1CF3">
        <w:t>n and the tests and final exam.</w:t>
      </w:r>
    </w:p>
    <w:p w:rsidR="004F1CF3" w:rsidRDefault="004F1CF3"/>
    <w:p w:rsidR="004F1CF3" w:rsidRDefault="004F1CF3"/>
    <w:p w:rsidR="004F1CF3" w:rsidRDefault="004F1CF3"/>
    <w:p w:rsidR="004F1CF3" w:rsidRDefault="004F1CF3"/>
    <w:p w:rsidR="004F1CF3" w:rsidRDefault="004F1CF3">
      <w:bookmarkStart w:id="0" w:name="_GoBack"/>
      <w:bookmarkEnd w:id="0"/>
    </w:p>
    <w:p w:rsidR="004F1CF3" w:rsidRDefault="004F1CF3"/>
    <w:p w:rsidR="004F1CF3" w:rsidRDefault="004F1CF3"/>
    <w:p w:rsidR="00A71BDE" w:rsidRDefault="00A71BDE"/>
    <w:p w:rsidR="004F1CF3" w:rsidRDefault="004F1CF3"/>
    <w:p w:rsidR="004F1CF3" w:rsidRDefault="004F1CF3"/>
    <w:p w:rsidR="004F1CF3" w:rsidRDefault="004F1CF3"/>
    <w:p w:rsidR="004F1CF3" w:rsidRDefault="004F1CF3"/>
    <w:tbl>
      <w:tblPr>
        <w:tblStyle w:val="TableGrid2"/>
        <w:tblW w:w="969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731"/>
      </w:tblGrid>
      <w:tr w:rsidR="00A71BDE" w:rsidTr="00A71BDE">
        <w:trPr>
          <w:trHeight w:val="825"/>
        </w:trPr>
        <w:tc>
          <w:tcPr>
            <w:tcW w:w="959" w:type="dxa"/>
            <w:vAlign w:val="center"/>
          </w:tcPr>
          <w:p w:rsidR="00A71BDE" w:rsidRDefault="00A71BDE">
            <w:pPr>
              <w:rPr>
                <w:rFonts w:ascii="Arial" w:eastAsia="Arial" w:hAnsi="Arial" w:cs="Arial"/>
                <w:iCs/>
                <w:color w:val="1F497D"/>
                <w:szCs w:val="18"/>
              </w:rPr>
            </w:pPr>
          </w:p>
          <w:p w:rsidR="00A71BDE" w:rsidRDefault="00A71BDE">
            <w:pPr>
              <w:rPr>
                <w:i/>
                <w:iCs/>
                <w:color w:val="1F497D"/>
                <w:szCs w:val="18"/>
              </w:rPr>
            </w:pPr>
            <w:r>
              <w:rPr>
                <w:i/>
                <w:noProof/>
                <w:color w:val="1F497D"/>
                <w:szCs w:val="18"/>
              </w:rPr>
              <w:drawing>
                <wp:inline distT="0" distB="0" distL="0" distR="0">
                  <wp:extent cx="419100"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323850"/>
                          </a:xfrm>
                          <a:prstGeom prst="rect">
                            <a:avLst/>
                          </a:prstGeom>
                          <a:noFill/>
                          <a:ln>
                            <a:noFill/>
                          </a:ln>
                        </pic:spPr>
                      </pic:pic>
                    </a:graphicData>
                  </a:graphic>
                </wp:inline>
              </w:drawing>
            </w:r>
          </w:p>
        </w:tc>
        <w:tc>
          <w:tcPr>
            <w:tcW w:w="8727" w:type="dxa"/>
            <w:vAlign w:val="bottom"/>
          </w:tcPr>
          <w:p w:rsidR="00A71BDE" w:rsidRDefault="00A71BDE">
            <w:pPr>
              <w:rPr>
                <w:i/>
                <w:iCs/>
                <w:color w:val="1F497D"/>
              </w:rPr>
            </w:pPr>
            <w:r>
              <w:rPr>
                <w:i/>
                <w:iCs/>
                <w:color w:val="1F497D"/>
              </w:rPr>
              <w:t>MoHealthWINs</w:t>
            </w:r>
          </w:p>
          <w:p w:rsidR="00A71BDE" w:rsidRDefault="00A71BDE">
            <w:pPr>
              <w:rPr>
                <w:i/>
                <w:iCs/>
                <w:color w:val="1F497D"/>
                <w:sz w:val="12"/>
              </w:rPr>
            </w:pPr>
          </w:p>
        </w:tc>
      </w:tr>
    </w:tbl>
    <w:p w:rsidR="00A71BDE" w:rsidRDefault="00A71BDE" w:rsidP="00A71BDE">
      <w:pPr>
        <w:pStyle w:val="Footer"/>
        <w:rPr>
          <w:rFonts w:ascii="Arial" w:eastAsia="Arial" w:hAnsi="Arial" w:cs="Arial"/>
          <w:i/>
          <w:iCs/>
          <w:color w:val="1F497D"/>
          <w:sz w:val="16"/>
          <w:szCs w:val="12"/>
        </w:rPr>
      </w:pPr>
      <w:r>
        <w:rPr>
          <w:i/>
          <w:iCs/>
          <w:color w:val="1F497D"/>
          <w:sz w:val="16"/>
          <w:szCs w:val="12"/>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A71BDE" w:rsidRDefault="00A71BDE" w:rsidP="00A71BDE">
      <w:pPr>
        <w:pStyle w:val="Footer"/>
      </w:pPr>
    </w:p>
    <w:p w:rsidR="004F1CF3" w:rsidRDefault="00A71BDE" w:rsidP="00A71BDE">
      <w:r>
        <w:rPr>
          <w:noProof/>
          <w:szCs w:val="20"/>
        </w:rPr>
        <w:drawing>
          <wp:inline distT="0" distB="0" distL="0" distR="0">
            <wp:extent cx="581025" cy="200025"/>
            <wp:effectExtent l="0" t="0" r="9525" b="9525"/>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r>
        <w:rPr>
          <w:szCs w:val="20"/>
        </w:rPr>
        <w:t xml:space="preserve"> This work is licensed under the </w:t>
      </w:r>
      <w:hyperlink r:id="rId9" w:history="1">
        <w:r>
          <w:rPr>
            <w:rStyle w:val="Hyperlink"/>
            <w:color w:val="0000FF"/>
            <w:szCs w:val="20"/>
          </w:rPr>
          <w:t>Creative Commons Attribution 3.0 Unported License</w:t>
        </w:r>
      </w:hyperlink>
      <w:r>
        <w:rPr>
          <w:color w:val="0000FF"/>
          <w:szCs w:val="20"/>
        </w:rPr>
        <w:t>.</w:t>
      </w:r>
    </w:p>
    <w:sectPr w:rsidR="004F1CF3">
      <w:headerReference w:type="default" r:id="rId10"/>
      <w:footerReference w:type="default" r:id="rId11"/>
      <w:pgSz w:w="12240" w:h="15840"/>
      <w:pgMar w:top="1440" w:right="14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807" w:rsidRDefault="008E1807" w:rsidP="004F1CF3">
      <w:pPr>
        <w:spacing w:after="0" w:line="240" w:lineRule="auto"/>
      </w:pPr>
      <w:r>
        <w:separator/>
      </w:r>
    </w:p>
  </w:endnote>
  <w:endnote w:type="continuationSeparator" w:id="0">
    <w:p w:rsidR="008E1807" w:rsidRDefault="008E1807" w:rsidP="004F1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CF3" w:rsidRDefault="004F1CF3">
    <w:pPr>
      <w:pStyle w:val="Footer"/>
    </w:pPr>
    <w:r>
      <w:ptab w:relativeTo="margin" w:alignment="center" w:leader="none"/>
    </w:r>
    <w:r>
      <w:fldChar w:fldCharType="begin"/>
    </w:r>
    <w:r>
      <w:instrText xml:space="preserve"> PAGE   \* MERGEFORMAT </w:instrText>
    </w:r>
    <w:r>
      <w:fldChar w:fldCharType="separate"/>
    </w:r>
    <w:r w:rsidR="00A71BDE">
      <w:rPr>
        <w:noProof/>
      </w:rPr>
      <w:t>1</w:t>
    </w:r>
    <w:r>
      <w:rPr>
        <w:noProof/>
      </w:rPr>
      <w:fldChar w:fldCharType="end"/>
    </w:r>
    <w:r>
      <w:ptab w:relativeTo="margin" w:alignment="right" w:leader="none"/>
    </w:r>
    <w:r w:rsidR="001C371C">
      <w:fldChar w:fldCharType="begin"/>
    </w:r>
    <w:r w:rsidR="001C371C">
      <w:rPr>
        <w:rFonts w:cs="Times New Roman"/>
      </w:rPr>
      <w:instrText xml:space="preserve"> FILENAME \* MERGEFORMAT </w:instrText>
    </w:r>
    <w:r w:rsidR="001C371C">
      <w:fldChar w:fldCharType="separate"/>
    </w:r>
    <w:r w:rsidR="001C371C">
      <w:rPr>
        <w:rFonts w:cs="Times New Roman"/>
        <w:noProof/>
      </w:rPr>
      <w:t>pcs_101syllabus_part3_transcript</w:t>
    </w:r>
    <w:r w:rsidR="001C371C">
      <w:fldChar w:fldCharType="end"/>
    </w:r>
    <w:r w:rsidR="001C371C">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807" w:rsidRDefault="008E1807" w:rsidP="004F1CF3">
      <w:pPr>
        <w:spacing w:after="0" w:line="240" w:lineRule="auto"/>
      </w:pPr>
      <w:r>
        <w:separator/>
      </w:r>
    </w:p>
  </w:footnote>
  <w:footnote w:type="continuationSeparator" w:id="0">
    <w:p w:rsidR="008E1807" w:rsidRDefault="008E1807" w:rsidP="004F1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0"/>
      <w:gridCol w:w="3520"/>
      <w:gridCol w:w="2813"/>
    </w:tblGrid>
    <w:tr w:rsidR="004F1CF3" w:rsidRPr="00CD3682" w:rsidTr="00C10F52">
      <w:trPr>
        <w:trHeight w:val="903"/>
        <w:jc w:val="center"/>
      </w:trPr>
      <w:tc>
        <w:tcPr>
          <w:tcW w:w="3340" w:type="dxa"/>
          <w:vAlign w:val="center"/>
        </w:tcPr>
        <w:p w:rsidR="004F1CF3" w:rsidRPr="00CD3682" w:rsidRDefault="004F1CF3" w:rsidP="004F1CF3">
          <w:pPr>
            <w:pStyle w:val="Header"/>
            <w:ind w:right="336"/>
            <w:rPr>
              <w:b/>
            </w:rPr>
          </w:pPr>
          <w:r>
            <w:rPr>
              <w:noProof/>
            </w:rPr>
            <w:drawing>
              <wp:inline distT="0" distB="0" distL="0" distR="0" wp14:anchorId="1A4A696D" wp14:editId="33BB4AB2">
                <wp:extent cx="942975" cy="6506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CWFDLogo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261" cy="695011"/>
                        </a:xfrm>
                        <a:prstGeom prst="rect">
                          <a:avLst/>
                        </a:prstGeom>
                      </pic:spPr>
                    </pic:pic>
                  </a:graphicData>
                </a:graphic>
              </wp:inline>
            </w:drawing>
          </w:r>
        </w:p>
      </w:tc>
      <w:tc>
        <w:tcPr>
          <w:tcW w:w="3520" w:type="dxa"/>
          <w:vAlign w:val="center"/>
        </w:tcPr>
        <w:p w:rsidR="004F1CF3" w:rsidRPr="007D29F5" w:rsidRDefault="004F1CF3" w:rsidP="004F1CF3">
          <w:pPr>
            <w:tabs>
              <w:tab w:val="left" w:pos="2461"/>
              <w:tab w:val="center" w:pos="4179"/>
              <w:tab w:val="left" w:pos="5526"/>
            </w:tabs>
            <w:spacing w:after="0" w:line="240" w:lineRule="auto"/>
            <w:ind w:left="0" w:hanging="14"/>
            <w:jc w:val="center"/>
            <w:rPr>
              <w:rFonts w:cs="Arial"/>
              <w:sz w:val="28"/>
              <w:szCs w:val="28"/>
            </w:rPr>
          </w:pPr>
          <w:r>
            <w:rPr>
              <w:rFonts w:cs="Arial"/>
              <w:sz w:val="28"/>
              <w:szCs w:val="28"/>
            </w:rPr>
            <w:t>ICD-10-PCS</w:t>
          </w:r>
        </w:p>
        <w:p w:rsidR="004F1CF3" w:rsidRDefault="004F1CF3" w:rsidP="004F1CF3">
          <w:pPr>
            <w:tabs>
              <w:tab w:val="left" w:pos="2461"/>
              <w:tab w:val="center" w:pos="4179"/>
              <w:tab w:val="left" w:pos="5526"/>
            </w:tabs>
            <w:spacing w:after="0" w:line="240" w:lineRule="auto"/>
            <w:ind w:left="0" w:hanging="14"/>
            <w:jc w:val="center"/>
            <w:rPr>
              <w:rFonts w:cs="Arial"/>
              <w:sz w:val="28"/>
              <w:szCs w:val="28"/>
            </w:rPr>
          </w:pPr>
          <w:r w:rsidRPr="007D29F5">
            <w:rPr>
              <w:rFonts w:cs="Arial"/>
              <w:sz w:val="28"/>
              <w:szCs w:val="28"/>
            </w:rPr>
            <w:t>Coding Courses</w:t>
          </w:r>
        </w:p>
        <w:p w:rsidR="004F1CF3" w:rsidRDefault="004F1CF3" w:rsidP="004F1CF3">
          <w:pPr>
            <w:tabs>
              <w:tab w:val="left" w:pos="2461"/>
              <w:tab w:val="center" w:pos="4179"/>
              <w:tab w:val="left" w:pos="5526"/>
            </w:tabs>
            <w:spacing w:after="0" w:line="240" w:lineRule="auto"/>
            <w:ind w:left="0" w:hanging="14"/>
            <w:jc w:val="center"/>
            <w:rPr>
              <w:rFonts w:cs="Arial"/>
              <w:sz w:val="28"/>
              <w:szCs w:val="28"/>
            </w:rPr>
          </w:pPr>
          <w:r>
            <w:rPr>
              <w:rFonts w:cs="Arial"/>
              <w:sz w:val="28"/>
              <w:szCs w:val="28"/>
            </w:rPr>
            <w:t>Syllabus Part 3</w:t>
          </w:r>
        </w:p>
        <w:p w:rsidR="004F1CF3" w:rsidRPr="00E078DA" w:rsidRDefault="004F1CF3" w:rsidP="004F1CF3">
          <w:pPr>
            <w:spacing w:after="0" w:line="240" w:lineRule="auto"/>
            <w:ind w:left="0" w:hanging="14"/>
            <w:jc w:val="center"/>
            <w:rPr>
              <w:rFonts w:cs="Arial"/>
              <w:sz w:val="28"/>
              <w:szCs w:val="28"/>
            </w:rPr>
          </w:pPr>
          <w:r>
            <w:rPr>
              <w:rFonts w:cs="Arial"/>
              <w:sz w:val="28"/>
              <w:szCs w:val="28"/>
            </w:rPr>
            <w:t>Audio File Transcript</w:t>
          </w:r>
        </w:p>
      </w:tc>
      <w:tc>
        <w:tcPr>
          <w:tcW w:w="2813" w:type="dxa"/>
          <w:vAlign w:val="center"/>
        </w:tcPr>
        <w:p w:rsidR="004F1CF3" w:rsidRPr="00EF5BC4" w:rsidRDefault="004F1CF3" w:rsidP="004F1CF3">
          <w:pPr>
            <w:pStyle w:val="Header"/>
            <w:rPr>
              <w:b/>
            </w:rPr>
          </w:pPr>
        </w:p>
      </w:tc>
    </w:tr>
  </w:tbl>
  <w:p w:rsidR="004F1CF3" w:rsidRPr="00043B5A" w:rsidRDefault="004F1CF3" w:rsidP="004F1CF3">
    <w:pPr>
      <w:pStyle w:val="Header"/>
    </w:pPr>
  </w:p>
  <w:p w:rsidR="004F1CF3" w:rsidRDefault="004F1C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17"/>
    <w:rsid w:val="001C371C"/>
    <w:rsid w:val="004F1CF3"/>
    <w:rsid w:val="00562417"/>
    <w:rsid w:val="00714EB7"/>
    <w:rsid w:val="008E1807"/>
    <w:rsid w:val="00A7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9C125-7728-42DA-960C-90C49435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2" w:line="244" w:lineRule="auto"/>
      <w:ind w:left="-5"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CF3"/>
    <w:rPr>
      <w:rFonts w:ascii="Calibri" w:eastAsia="Calibri" w:hAnsi="Calibri" w:cs="Calibri"/>
      <w:color w:val="000000"/>
    </w:rPr>
  </w:style>
  <w:style w:type="paragraph" w:styleId="Footer">
    <w:name w:val="footer"/>
    <w:basedOn w:val="Normal"/>
    <w:link w:val="FooterChar"/>
    <w:uiPriority w:val="99"/>
    <w:unhideWhenUsed/>
    <w:rsid w:val="004F1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CF3"/>
    <w:rPr>
      <w:rFonts w:ascii="Calibri" w:eastAsia="Calibri" w:hAnsi="Calibri" w:cs="Calibri"/>
      <w:color w:val="000000"/>
    </w:rPr>
  </w:style>
  <w:style w:type="table" w:styleId="TableGrid">
    <w:name w:val="Table Grid"/>
    <w:basedOn w:val="TableNormal"/>
    <w:uiPriority w:val="59"/>
    <w:rsid w:val="004F1CF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71BDE"/>
    <w:rPr>
      <w:color w:val="0563C1" w:themeColor="hyperlink"/>
      <w:u w:val="single"/>
    </w:rPr>
  </w:style>
  <w:style w:type="table" w:customStyle="1" w:styleId="TableGrid2">
    <w:name w:val="Table Grid2"/>
    <w:basedOn w:val="TableNormal"/>
    <w:uiPriority w:val="59"/>
    <w:rsid w:val="00A71BDE"/>
    <w:pPr>
      <w:spacing w:after="0" w:line="240" w:lineRule="auto"/>
    </w:pPr>
    <w:rPr>
      <w:rFonts w:eastAsia="Times New Roman"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831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reativecommons.org/licenses/by/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creativecommons.org/licenses/by/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Charles Community College</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ccundiff</dc:creator>
  <cp:keywords/>
  <cp:lastModifiedBy>Scott Kearns</cp:lastModifiedBy>
  <cp:revision>4</cp:revision>
  <dcterms:created xsi:type="dcterms:W3CDTF">2014-08-04T15:58:00Z</dcterms:created>
  <dcterms:modified xsi:type="dcterms:W3CDTF">2015-05-26T18:04:00Z</dcterms:modified>
</cp:coreProperties>
</file>