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30" w:rsidRDefault="00984467">
      <w:r>
        <w:t xml:space="preserve">When I teach a face-to-face course, one of the first things we do is go over the syllabus so we both have an expectation of what’s going to occur.   </w:t>
      </w:r>
    </w:p>
    <w:p w:rsidR="00235030" w:rsidRDefault="00984467">
      <w:pPr>
        <w:spacing w:line="240" w:lineRule="auto"/>
        <w:ind w:left="0" w:firstLine="0"/>
      </w:pPr>
      <w:r>
        <w:t xml:space="preserve"> </w:t>
      </w:r>
    </w:p>
    <w:p w:rsidR="00235030" w:rsidRDefault="00984467">
      <w:r>
        <w:t xml:space="preserve">Again, my name is Candace or Candy Cundiff.  You can reach me by phone at 636-922-8625.  Or if you’re in the St. Louis area and have to pay a toll for you to get into St. Charles, 636-928-0836, extension 8625.  You can use the course email or directly into my office </w:t>
      </w:r>
      <w:r>
        <w:rPr>
          <w:color w:val="0000FF"/>
          <w:u w:val="single" w:color="0000FF"/>
        </w:rPr>
        <w:t>ccundiff@stchas.edu</w:t>
      </w:r>
      <w:r>
        <w:t xml:space="preserve">.  </w:t>
      </w:r>
    </w:p>
    <w:p w:rsidR="00235030" w:rsidRDefault="00984467">
      <w:pPr>
        <w:spacing w:line="240" w:lineRule="auto"/>
        <w:ind w:left="0" w:firstLine="0"/>
      </w:pPr>
      <w:r>
        <w:t xml:space="preserve"> </w:t>
      </w:r>
    </w:p>
    <w:p w:rsidR="00235030" w:rsidRDefault="00984467">
      <w:r>
        <w:t xml:space="preserve">If you complete the course, as evidenced by your successful completion with 80% of the final exam, you will receive 32 continuing education credits, and we’ll send you a certificate.  The course is designed for current ICD-9 coders or individuals who have had previous ICD-9 coding instruction.   </w:t>
      </w:r>
    </w:p>
    <w:p w:rsidR="00235030" w:rsidRDefault="00984467">
      <w:pPr>
        <w:spacing w:after="33" w:line="240" w:lineRule="auto"/>
        <w:ind w:left="0" w:firstLine="0"/>
      </w:pPr>
      <w:r>
        <w:t xml:space="preserve"> </w:t>
      </w:r>
    </w:p>
    <w:p w:rsidR="00235030" w:rsidRDefault="00984467">
      <w:r>
        <w:t xml:space="preserve">The course will start with ICD-10-CM instruction and we will compare the ICD-9 to the ICD-10-CM.  You’ll see that there is quite a bit of similarity and that’s why I do this.  Originally, I had students compare the two and for the Continuing Ed class, I am doing that for you.   </w:t>
      </w:r>
    </w:p>
    <w:p w:rsidR="00235030" w:rsidRDefault="00984467">
      <w:pPr>
        <w:spacing w:line="240" w:lineRule="auto"/>
        <w:ind w:left="0" w:firstLine="0"/>
      </w:pPr>
      <w:r>
        <w:t xml:space="preserve"> </w:t>
      </w:r>
    </w:p>
    <w:p w:rsidR="00235030" w:rsidRDefault="00984467">
      <w:r>
        <w:t>So, once we’re done with ICD-10-CM, after the first four units, we’ll dive into ICD-10-PCS, the procedure coding system.  Since it is so very different, from anything we’ve seen in the past, we won’t bother to compare it to anything.  We’ll just dive right into it.  The course is self-paced, but it must be</w:t>
      </w:r>
      <w:r w:rsidR="00043B5A">
        <w:t xml:space="preserve"> completed within four months.</w:t>
      </w:r>
    </w:p>
    <w:p w:rsidR="00043B5A" w:rsidRDefault="00043B5A"/>
    <w:p w:rsidR="00043B5A" w:rsidRDefault="00043B5A"/>
    <w:p w:rsidR="00043B5A" w:rsidRDefault="00043B5A"/>
    <w:p w:rsidR="00043B5A" w:rsidRDefault="00043B5A"/>
    <w:p w:rsidR="00043B5A" w:rsidRDefault="00043B5A"/>
    <w:p w:rsidR="00043B5A" w:rsidRDefault="00043B5A"/>
    <w:p w:rsidR="00043B5A" w:rsidRDefault="00043B5A"/>
    <w:p w:rsidR="00043B5A" w:rsidRDefault="00043B5A"/>
    <w:p w:rsidR="00043B5A" w:rsidRDefault="00043B5A"/>
    <w:p w:rsidR="00393511" w:rsidRDefault="00393511">
      <w:bookmarkStart w:id="0" w:name="_GoBack"/>
      <w:bookmarkEnd w:id="0"/>
    </w:p>
    <w:p w:rsidR="00043B5A" w:rsidRDefault="00043B5A"/>
    <w:p w:rsidR="00043B5A" w:rsidRDefault="00043B5A"/>
    <w:p w:rsidR="00043B5A" w:rsidRDefault="00043B5A"/>
    <w:tbl>
      <w:tblPr>
        <w:tblStyle w:val="TableGrid2"/>
        <w:tblW w:w="96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31"/>
      </w:tblGrid>
      <w:tr w:rsidR="00393511" w:rsidTr="00393511">
        <w:trPr>
          <w:trHeight w:val="825"/>
        </w:trPr>
        <w:tc>
          <w:tcPr>
            <w:tcW w:w="959" w:type="dxa"/>
            <w:vAlign w:val="center"/>
          </w:tcPr>
          <w:p w:rsidR="00393511" w:rsidRDefault="00393511">
            <w:pPr>
              <w:rPr>
                <w:rFonts w:ascii="Arial" w:eastAsia="Arial" w:hAnsi="Arial" w:cs="Arial"/>
                <w:iCs/>
                <w:color w:val="1F497D"/>
                <w:szCs w:val="18"/>
              </w:rPr>
            </w:pPr>
          </w:p>
          <w:p w:rsidR="00393511" w:rsidRDefault="00393511">
            <w:pPr>
              <w:rPr>
                <w:i/>
                <w:iCs/>
                <w:color w:val="1F497D"/>
                <w:szCs w:val="18"/>
              </w:rPr>
            </w:pPr>
            <w:r>
              <w:rPr>
                <w:i/>
                <w:noProof/>
                <w:color w:val="1F497D"/>
                <w:szCs w:val="18"/>
              </w:rPr>
              <w:drawing>
                <wp:inline distT="0" distB="0" distL="0" distR="0">
                  <wp:extent cx="4191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393511" w:rsidRDefault="00393511">
            <w:pPr>
              <w:rPr>
                <w:i/>
                <w:iCs/>
                <w:color w:val="1F497D"/>
              </w:rPr>
            </w:pPr>
            <w:r>
              <w:rPr>
                <w:i/>
                <w:iCs/>
                <w:color w:val="1F497D"/>
              </w:rPr>
              <w:t>MoHealthWINs</w:t>
            </w:r>
          </w:p>
          <w:p w:rsidR="00393511" w:rsidRDefault="00393511">
            <w:pPr>
              <w:rPr>
                <w:i/>
                <w:iCs/>
                <w:color w:val="1F497D"/>
                <w:sz w:val="12"/>
              </w:rPr>
            </w:pPr>
          </w:p>
        </w:tc>
      </w:tr>
    </w:tbl>
    <w:p w:rsidR="00393511" w:rsidRDefault="00393511" w:rsidP="00393511">
      <w:pPr>
        <w:pStyle w:val="Footer"/>
        <w:rPr>
          <w:rFonts w:ascii="Arial" w:eastAsia="Arial" w:hAnsi="Arial" w:cs="Arial"/>
          <w:i/>
          <w:iCs/>
          <w:color w:val="1F497D"/>
          <w:sz w:val="16"/>
          <w:szCs w:val="12"/>
        </w:rPr>
      </w:pPr>
      <w:r>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393511" w:rsidRDefault="00393511" w:rsidP="00393511">
      <w:pPr>
        <w:pStyle w:val="Footer"/>
      </w:pPr>
    </w:p>
    <w:p w:rsidR="00043B5A" w:rsidRDefault="00393511" w:rsidP="00393511">
      <w:r>
        <w:rPr>
          <w:noProof/>
          <w:szCs w:val="20"/>
        </w:rPr>
        <w:drawing>
          <wp:inline distT="0" distB="0" distL="0" distR="0">
            <wp:extent cx="581025" cy="200025"/>
            <wp:effectExtent l="0" t="0" r="9525"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szCs w:val="20"/>
        </w:rPr>
        <w:t xml:space="preserve"> This work is licensed under the </w:t>
      </w:r>
      <w:hyperlink r:id="rId9" w:history="1">
        <w:r>
          <w:rPr>
            <w:rStyle w:val="Hyperlink"/>
            <w:color w:val="0000FF"/>
            <w:szCs w:val="20"/>
          </w:rPr>
          <w:t>Creative Commons Attribution 3.0 Unported License</w:t>
        </w:r>
      </w:hyperlink>
      <w:r>
        <w:rPr>
          <w:color w:val="0000FF"/>
          <w:szCs w:val="20"/>
        </w:rPr>
        <w:t>.</w:t>
      </w:r>
    </w:p>
    <w:sectPr w:rsidR="00043B5A">
      <w:headerReference w:type="default" r:id="rId10"/>
      <w:footerReference w:type="default" r:id="rId11"/>
      <w:pgSz w:w="12240" w:h="15840"/>
      <w:pgMar w:top="1440" w:right="146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35" w:rsidRDefault="00C72B35" w:rsidP="00043B5A">
      <w:pPr>
        <w:spacing w:after="0" w:line="240" w:lineRule="auto"/>
      </w:pPr>
      <w:r>
        <w:separator/>
      </w:r>
    </w:p>
  </w:endnote>
  <w:endnote w:type="continuationSeparator" w:id="0">
    <w:p w:rsidR="00C72B35" w:rsidRDefault="00C72B35" w:rsidP="0004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5A" w:rsidRDefault="00043B5A">
    <w:pPr>
      <w:pStyle w:val="Footer"/>
    </w:pPr>
    <w:r>
      <w:ptab w:relativeTo="margin" w:alignment="center" w:leader="none"/>
    </w:r>
    <w:r>
      <w:fldChar w:fldCharType="begin"/>
    </w:r>
    <w:r>
      <w:instrText xml:space="preserve"> PAGE   \* MERGEFORMAT </w:instrText>
    </w:r>
    <w:r>
      <w:fldChar w:fldCharType="separate"/>
    </w:r>
    <w:r w:rsidR="00393511">
      <w:rPr>
        <w:noProof/>
      </w:rPr>
      <w:t>1</w:t>
    </w:r>
    <w:r>
      <w:rPr>
        <w:noProof/>
      </w:rPr>
      <w:fldChar w:fldCharType="end"/>
    </w:r>
    <w:r>
      <w:ptab w:relativeTo="margin" w:alignment="right" w:leader="none"/>
    </w:r>
    <w:r w:rsidR="00F618C5">
      <w:fldChar w:fldCharType="begin"/>
    </w:r>
    <w:r w:rsidR="00F618C5">
      <w:rPr>
        <w:rFonts w:cs="Times New Roman"/>
      </w:rPr>
      <w:instrText xml:space="preserve"> FILENAME \* MERGEFORMAT </w:instrText>
    </w:r>
    <w:r w:rsidR="00F618C5">
      <w:fldChar w:fldCharType="separate"/>
    </w:r>
    <w:r w:rsidR="00F618C5">
      <w:rPr>
        <w:rFonts w:cs="Times New Roman"/>
        <w:noProof/>
      </w:rPr>
      <w:t>pcs_101syllabus_part1_transcript</w:t>
    </w:r>
    <w:r w:rsidR="00F618C5">
      <w:fldChar w:fldCharType="end"/>
    </w:r>
    <w:r w:rsidR="00F618C5">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35" w:rsidRDefault="00C72B35" w:rsidP="00043B5A">
      <w:pPr>
        <w:spacing w:after="0" w:line="240" w:lineRule="auto"/>
      </w:pPr>
      <w:r>
        <w:separator/>
      </w:r>
    </w:p>
  </w:footnote>
  <w:footnote w:type="continuationSeparator" w:id="0">
    <w:p w:rsidR="00C72B35" w:rsidRDefault="00C72B35" w:rsidP="00043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043B5A" w:rsidRPr="00CD3682" w:rsidTr="00C10F52">
      <w:trPr>
        <w:trHeight w:val="903"/>
        <w:jc w:val="center"/>
      </w:trPr>
      <w:tc>
        <w:tcPr>
          <w:tcW w:w="3340" w:type="dxa"/>
          <w:vAlign w:val="center"/>
        </w:tcPr>
        <w:p w:rsidR="00043B5A" w:rsidRPr="00CD3682" w:rsidRDefault="00043B5A" w:rsidP="00043B5A">
          <w:pPr>
            <w:pStyle w:val="Header"/>
            <w:ind w:right="336"/>
            <w:rPr>
              <w:b/>
            </w:rPr>
          </w:pPr>
          <w:r>
            <w:rPr>
              <w:noProof/>
            </w:rPr>
            <w:drawing>
              <wp:inline distT="0" distB="0" distL="0" distR="0" wp14:anchorId="07D48925" wp14:editId="7F9E14D9">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043B5A" w:rsidRPr="007D29F5" w:rsidRDefault="00043B5A" w:rsidP="00043B5A">
          <w:pPr>
            <w:tabs>
              <w:tab w:val="left" w:pos="2461"/>
              <w:tab w:val="center" w:pos="4179"/>
              <w:tab w:val="left" w:pos="5526"/>
            </w:tabs>
            <w:spacing w:after="0" w:line="240" w:lineRule="auto"/>
            <w:ind w:left="0" w:hanging="14"/>
            <w:jc w:val="center"/>
            <w:rPr>
              <w:rFonts w:cs="Arial"/>
              <w:sz w:val="28"/>
              <w:szCs w:val="28"/>
            </w:rPr>
          </w:pPr>
          <w:r>
            <w:rPr>
              <w:rFonts w:cs="Arial"/>
              <w:sz w:val="28"/>
              <w:szCs w:val="28"/>
            </w:rPr>
            <w:t>ICD-10-PCS</w:t>
          </w:r>
        </w:p>
        <w:p w:rsidR="00043B5A" w:rsidRDefault="00043B5A" w:rsidP="00043B5A">
          <w:pPr>
            <w:tabs>
              <w:tab w:val="left" w:pos="2461"/>
              <w:tab w:val="center" w:pos="4179"/>
              <w:tab w:val="left" w:pos="5526"/>
            </w:tabs>
            <w:spacing w:after="0" w:line="240" w:lineRule="auto"/>
            <w:ind w:left="0" w:hanging="14"/>
            <w:jc w:val="center"/>
            <w:rPr>
              <w:rFonts w:cs="Arial"/>
              <w:sz w:val="28"/>
              <w:szCs w:val="28"/>
            </w:rPr>
          </w:pPr>
          <w:r w:rsidRPr="007D29F5">
            <w:rPr>
              <w:rFonts w:cs="Arial"/>
              <w:sz w:val="28"/>
              <w:szCs w:val="28"/>
            </w:rPr>
            <w:t>Coding Courses</w:t>
          </w:r>
        </w:p>
        <w:p w:rsidR="00043B5A" w:rsidRDefault="00043B5A" w:rsidP="00043B5A">
          <w:pPr>
            <w:tabs>
              <w:tab w:val="left" w:pos="2461"/>
              <w:tab w:val="center" w:pos="4179"/>
              <w:tab w:val="left" w:pos="5526"/>
            </w:tabs>
            <w:spacing w:after="0" w:line="240" w:lineRule="auto"/>
            <w:ind w:left="0" w:hanging="14"/>
            <w:jc w:val="center"/>
            <w:rPr>
              <w:rFonts w:cs="Arial"/>
              <w:sz w:val="28"/>
              <w:szCs w:val="28"/>
            </w:rPr>
          </w:pPr>
          <w:r>
            <w:rPr>
              <w:rFonts w:cs="Arial"/>
              <w:sz w:val="28"/>
              <w:szCs w:val="28"/>
            </w:rPr>
            <w:t>Syllabus Part 1</w:t>
          </w:r>
        </w:p>
        <w:p w:rsidR="00043B5A" w:rsidRPr="00E078DA" w:rsidRDefault="00043B5A" w:rsidP="00043B5A">
          <w:pPr>
            <w:spacing w:after="0" w:line="240" w:lineRule="auto"/>
            <w:ind w:left="0" w:hanging="14"/>
            <w:jc w:val="center"/>
            <w:rPr>
              <w:rFonts w:cs="Arial"/>
              <w:sz w:val="28"/>
              <w:szCs w:val="28"/>
            </w:rPr>
          </w:pPr>
          <w:r>
            <w:rPr>
              <w:rFonts w:cs="Arial"/>
              <w:sz w:val="28"/>
              <w:szCs w:val="28"/>
            </w:rPr>
            <w:t>Audio File Transcript</w:t>
          </w:r>
        </w:p>
      </w:tc>
      <w:tc>
        <w:tcPr>
          <w:tcW w:w="2813" w:type="dxa"/>
          <w:vAlign w:val="center"/>
        </w:tcPr>
        <w:p w:rsidR="00043B5A" w:rsidRPr="00EF5BC4" w:rsidRDefault="00043B5A" w:rsidP="00043B5A">
          <w:pPr>
            <w:pStyle w:val="Header"/>
            <w:rPr>
              <w:b/>
            </w:rPr>
          </w:pPr>
        </w:p>
      </w:tc>
    </w:tr>
  </w:tbl>
  <w:p w:rsidR="00043B5A" w:rsidRPr="00043B5A" w:rsidRDefault="00043B5A" w:rsidP="00043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30"/>
    <w:rsid w:val="00043B5A"/>
    <w:rsid w:val="00235030"/>
    <w:rsid w:val="00393511"/>
    <w:rsid w:val="00984467"/>
    <w:rsid w:val="00C72B35"/>
    <w:rsid w:val="00F6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7CC69-34B3-40B6-9FA2-68B56010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7"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5A"/>
    <w:rPr>
      <w:rFonts w:ascii="Calibri" w:eastAsia="Calibri" w:hAnsi="Calibri" w:cs="Calibri"/>
      <w:color w:val="000000"/>
    </w:rPr>
  </w:style>
  <w:style w:type="paragraph" w:styleId="Footer">
    <w:name w:val="footer"/>
    <w:basedOn w:val="Normal"/>
    <w:link w:val="FooterChar"/>
    <w:uiPriority w:val="99"/>
    <w:unhideWhenUsed/>
    <w:rsid w:val="0004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5A"/>
    <w:rPr>
      <w:rFonts w:ascii="Calibri" w:eastAsia="Calibri" w:hAnsi="Calibri" w:cs="Calibri"/>
      <w:color w:val="000000"/>
    </w:rPr>
  </w:style>
  <w:style w:type="table" w:styleId="TableGrid">
    <w:name w:val="Table Grid"/>
    <w:basedOn w:val="TableNormal"/>
    <w:uiPriority w:val="59"/>
    <w:rsid w:val="00043B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3511"/>
    <w:rPr>
      <w:color w:val="0563C1" w:themeColor="hyperlink"/>
      <w:u w:val="single"/>
    </w:rPr>
  </w:style>
  <w:style w:type="table" w:customStyle="1" w:styleId="TableGrid2">
    <w:name w:val="Table Grid2"/>
    <w:basedOn w:val="TableNormal"/>
    <w:uiPriority w:val="59"/>
    <w:rsid w:val="00393511"/>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ccundiff</dc:creator>
  <cp:keywords/>
  <cp:lastModifiedBy>Scott Kearns</cp:lastModifiedBy>
  <cp:revision>4</cp:revision>
  <dcterms:created xsi:type="dcterms:W3CDTF">2014-08-04T15:54:00Z</dcterms:created>
  <dcterms:modified xsi:type="dcterms:W3CDTF">2015-05-26T18:03:00Z</dcterms:modified>
</cp:coreProperties>
</file>