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DE" w:rsidRPr="00017695" w:rsidRDefault="009E3FDE" w:rsidP="009E3FDE">
      <w:pPr>
        <w:rPr>
          <w:rFonts w:ascii="Arial" w:hAnsi="Arial" w:cs="Arial"/>
          <w:b/>
        </w:rPr>
      </w:pPr>
      <w:bookmarkStart w:id="0" w:name="_GoBack"/>
      <w:bookmarkEnd w:id="0"/>
      <w:r w:rsidRPr="00017695">
        <w:rPr>
          <w:rFonts w:ascii="Arial" w:hAnsi="Arial" w:cs="Arial"/>
          <w:b/>
        </w:rPr>
        <w:t>COURSE SYLLABUS - MASTER</w:t>
      </w:r>
    </w:p>
    <w:p w:rsidR="009E3FDE" w:rsidRPr="00017695" w:rsidRDefault="009E3FDE" w:rsidP="009E3FDE">
      <w:pPr>
        <w:rPr>
          <w:rFonts w:ascii="Arial" w:hAnsi="Arial" w:cs="Arial"/>
          <w:b/>
        </w:rPr>
      </w:pPr>
    </w:p>
    <w:p w:rsidR="009E3FDE" w:rsidRPr="00017695" w:rsidRDefault="009E3FDE" w:rsidP="009E3FDE">
      <w:pPr>
        <w:rPr>
          <w:rFonts w:ascii="Arial" w:hAnsi="Arial" w:cs="Arial"/>
          <w:b/>
        </w:rPr>
      </w:pPr>
      <w:r w:rsidRPr="00017695">
        <w:rPr>
          <w:rFonts w:ascii="Arial" w:hAnsi="Arial" w:cs="Arial"/>
          <w:b/>
        </w:rPr>
        <w:t>Malcolm X College</w:t>
      </w:r>
    </w:p>
    <w:p w:rsidR="009E3FDE" w:rsidRPr="00017695" w:rsidRDefault="009E3FDE" w:rsidP="009E3FDE">
      <w:pPr>
        <w:rPr>
          <w:rFonts w:ascii="Arial" w:hAnsi="Arial" w:cs="Arial"/>
          <w:b/>
        </w:rPr>
      </w:pPr>
      <w:r w:rsidRPr="00017695">
        <w:rPr>
          <w:rFonts w:ascii="Arial" w:hAnsi="Arial" w:cs="Arial"/>
          <w:b/>
        </w:rPr>
        <w:t xml:space="preserve">Department of </w:t>
      </w:r>
      <w:r>
        <w:rPr>
          <w:rFonts w:ascii="Arial" w:hAnsi="Arial" w:cs="Arial"/>
          <w:b/>
        </w:rPr>
        <w:t>Health Information Management</w:t>
      </w:r>
    </w:p>
    <w:p w:rsidR="009E3FDE" w:rsidRPr="00100700" w:rsidRDefault="009E3FDE" w:rsidP="009E3FDE">
      <w:pPr>
        <w:rPr>
          <w:rFonts w:ascii="Arial" w:hAnsi="Arial" w:cs="Arial"/>
          <w:b/>
        </w:rPr>
      </w:pPr>
    </w:p>
    <w:p w:rsidR="009E3FDE" w:rsidRPr="00AB010E" w:rsidRDefault="009E3FDE" w:rsidP="009E3FDE">
      <w:pPr>
        <w:rPr>
          <w:rFonts w:ascii="Arial" w:hAnsi="Arial" w:cs="Arial"/>
          <w:b/>
        </w:rPr>
      </w:pPr>
      <w:r w:rsidRPr="00AB010E">
        <w:rPr>
          <w:rFonts w:ascii="Arial" w:hAnsi="Arial" w:cs="Arial"/>
          <w:b/>
        </w:rPr>
        <w:t>Reimbursement Methodologies</w:t>
      </w:r>
    </w:p>
    <w:p w:rsidR="009E3FDE" w:rsidRPr="00BA7D92" w:rsidRDefault="009E3FDE" w:rsidP="009E3FDE">
      <w:pPr>
        <w:rPr>
          <w:rFonts w:ascii="Arial" w:hAnsi="Arial" w:cs="Arial"/>
          <w:b/>
        </w:rPr>
      </w:pPr>
    </w:p>
    <w:p w:rsidR="009E3FDE" w:rsidRPr="00017695" w:rsidRDefault="009E3FDE" w:rsidP="009E3FDE">
      <w:pPr>
        <w:rPr>
          <w:rFonts w:ascii="Arial" w:hAnsi="Arial" w:cs="Arial"/>
          <w:b/>
        </w:rPr>
      </w:pPr>
      <w:r w:rsidRPr="00017695">
        <w:rPr>
          <w:rFonts w:ascii="Arial" w:hAnsi="Arial" w:cs="Arial"/>
          <w:b/>
        </w:rPr>
        <w:t>Academic Year (2013-2014)</w:t>
      </w:r>
    </w:p>
    <w:p w:rsidR="009E3FDE" w:rsidRPr="001754B2" w:rsidRDefault="009E3FDE" w:rsidP="009E3FDE">
      <w:pPr>
        <w:rPr>
          <w:rFonts w:ascii="Arial" w:hAnsi="Arial" w:cs="Arial"/>
        </w:rPr>
      </w:pPr>
    </w:p>
    <w:tbl>
      <w:tblPr>
        <w:tblW w:w="0" w:type="auto"/>
        <w:tblLook w:val="04A0" w:firstRow="1" w:lastRow="0" w:firstColumn="1" w:lastColumn="0" w:noHBand="0" w:noVBand="1"/>
        <w:tblCaption w:val="Course information for HIM 203 Reimbursement Methodogies"/>
        <w:tblDescription w:val="This table provides Course information for HIM 203 Reimbursement Methodogies including course title, course number, credit hours, lecture hours, contact hours, and length of course"/>
      </w:tblPr>
      <w:tblGrid>
        <w:gridCol w:w="2988"/>
        <w:gridCol w:w="6588"/>
      </w:tblGrid>
      <w:tr w:rsidR="009E3FDE" w:rsidRPr="00017695" w:rsidTr="00472A73">
        <w:tc>
          <w:tcPr>
            <w:tcW w:w="2988" w:type="dxa"/>
            <w:shd w:val="clear" w:color="auto" w:fill="auto"/>
          </w:tcPr>
          <w:p w:rsidR="009E3FDE" w:rsidRPr="00017695" w:rsidRDefault="009E3FDE" w:rsidP="00472A73">
            <w:pPr>
              <w:jc w:val="left"/>
              <w:rPr>
                <w:rFonts w:ascii="Arial" w:hAnsi="Arial" w:cs="Arial"/>
                <w:b/>
              </w:rPr>
            </w:pPr>
            <w:r w:rsidRPr="00017695">
              <w:rPr>
                <w:rFonts w:ascii="Arial" w:hAnsi="Arial" w:cs="Arial"/>
                <w:b/>
              </w:rPr>
              <w:t>Course title</w:t>
            </w:r>
          </w:p>
        </w:tc>
        <w:tc>
          <w:tcPr>
            <w:tcW w:w="6588" w:type="dxa"/>
            <w:shd w:val="clear" w:color="auto" w:fill="auto"/>
          </w:tcPr>
          <w:p w:rsidR="009E3FDE" w:rsidRPr="00100700" w:rsidRDefault="009E3FDE" w:rsidP="00472A73">
            <w:pPr>
              <w:jc w:val="both"/>
              <w:rPr>
                <w:rFonts w:ascii="Arial" w:hAnsi="Arial" w:cs="Arial"/>
              </w:rPr>
            </w:pPr>
            <w:r w:rsidRPr="00100700">
              <w:rPr>
                <w:rFonts w:ascii="Arial" w:hAnsi="Arial" w:cs="Arial"/>
              </w:rPr>
              <w:t>Reimbursement Methodologies</w:t>
            </w:r>
          </w:p>
        </w:tc>
      </w:tr>
      <w:tr w:rsidR="009E3FDE" w:rsidRPr="00017695" w:rsidTr="00472A73">
        <w:tc>
          <w:tcPr>
            <w:tcW w:w="2988" w:type="dxa"/>
            <w:shd w:val="clear" w:color="auto" w:fill="auto"/>
          </w:tcPr>
          <w:p w:rsidR="009E3FDE" w:rsidRPr="00017695" w:rsidRDefault="009E3FDE" w:rsidP="00472A73">
            <w:pPr>
              <w:jc w:val="left"/>
              <w:rPr>
                <w:rFonts w:ascii="Arial" w:hAnsi="Arial" w:cs="Arial"/>
                <w:b/>
              </w:rPr>
            </w:pPr>
            <w:r w:rsidRPr="00017695">
              <w:rPr>
                <w:rFonts w:ascii="Arial" w:hAnsi="Arial" w:cs="Arial"/>
                <w:b/>
              </w:rPr>
              <w:t>Course number</w:t>
            </w:r>
          </w:p>
        </w:tc>
        <w:tc>
          <w:tcPr>
            <w:tcW w:w="6588" w:type="dxa"/>
            <w:shd w:val="clear" w:color="auto" w:fill="auto"/>
          </w:tcPr>
          <w:p w:rsidR="009E3FDE" w:rsidRPr="00017695" w:rsidRDefault="009E3FDE" w:rsidP="00472A73">
            <w:pPr>
              <w:jc w:val="left"/>
              <w:rPr>
                <w:rFonts w:ascii="Arial" w:hAnsi="Arial" w:cs="Arial"/>
              </w:rPr>
            </w:pPr>
            <w:r>
              <w:rPr>
                <w:rFonts w:ascii="Arial" w:hAnsi="Arial" w:cs="Arial"/>
              </w:rPr>
              <w:t>HIM 203 (01450203)</w:t>
            </w:r>
          </w:p>
        </w:tc>
      </w:tr>
      <w:tr w:rsidR="009E3FDE" w:rsidRPr="00017695" w:rsidTr="00472A73">
        <w:tc>
          <w:tcPr>
            <w:tcW w:w="2988" w:type="dxa"/>
            <w:shd w:val="clear" w:color="auto" w:fill="auto"/>
          </w:tcPr>
          <w:p w:rsidR="009E3FDE" w:rsidRPr="00017695" w:rsidRDefault="009E3FDE" w:rsidP="00472A73">
            <w:pPr>
              <w:jc w:val="left"/>
              <w:rPr>
                <w:rFonts w:ascii="Arial" w:hAnsi="Arial" w:cs="Arial"/>
                <w:b/>
              </w:rPr>
            </w:pPr>
            <w:r w:rsidRPr="00017695">
              <w:rPr>
                <w:rFonts w:ascii="Arial" w:hAnsi="Arial" w:cs="Arial"/>
                <w:b/>
              </w:rPr>
              <w:t>Credit hours:</w:t>
            </w:r>
          </w:p>
        </w:tc>
        <w:tc>
          <w:tcPr>
            <w:tcW w:w="6588" w:type="dxa"/>
            <w:shd w:val="clear" w:color="auto" w:fill="auto"/>
          </w:tcPr>
          <w:p w:rsidR="009E3FDE" w:rsidRPr="00017695" w:rsidRDefault="009E3FDE" w:rsidP="00472A73">
            <w:pPr>
              <w:jc w:val="left"/>
              <w:rPr>
                <w:rFonts w:ascii="Arial" w:hAnsi="Arial" w:cs="Arial"/>
                <w:b/>
              </w:rPr>
            </w:pPr>
            <w:r w:rsidRPr="00017695">
              <w:rPr>
                <w:rFonts w:ascii="Arial" w:hAnsi="Arial" w:cs="Arial"/>
              </w:rPr>
              <w:t>3 Credit Hours</w:t>
            </w:r>
          </w:p>
        </w:tc>
      </w:tr>
      <w:tr w:rsidR="009E3FDE" w:rsidRPr="00017695" w:rsidTr="00472A73">
        <w:tc>
          <w:tcPr>
            <w:tcW w:w="2988" w:type="dxa"/>
            <w:shd w:val="clear" w:color="auto" w:fill="auto"/>
            <w:vAlign w:val="center"/>
          </w:tcPr>
          <w:p w:rsidR="009E3FDE" w:rsidRPr="00017695" w:rsidRDefault="009E3FDE" w:rsidP="00472A73">
            <w:pPr>
              <w:jc w:val="left"/>
              <w:rPr>
                <w:rFonts w:ascii="Arial" w:hAnsi="Arial" w:cs="Arial"/>
                <w:b/>
              </w:rPr>
            </w:pPr>
            <w:r w:rsidRPr="00017695">
              <w:rPr>
                <w:rFonts w:ascii="Arial" w:hAnsi="Arial" w:cs="Arial"/>
                <w:b/>
              </w:rPr>
              <w:t>Lecture hours</w:t>
            </w:r>
          </w:p>
        </w:tc>
        <w:tc>
          <w:tcPr>
            <w:tcW w:w="6588" w:type="dxa"/>
            <w:shd w:val="clear" w:color="auto" w:fill="auto"/>
            <w:vAlign w:val="center"/>
          </w:tcPr>
          <w:p w:rsidR="009E3FDE" w:rsidRPr="00017695" w:rsidRDefault="009E3FDE" w:rsidP="00472A73">
            <w:pPr>
              <w:jc w:val="left"/>
              <w:rPr>
                <w:rFonts w:ascii="Arial" w:hAnsi="Arial" w:cs="Arial"/>
              </w:rPr>
            </w:pPr>
            <w:r w:rsidRPr="00017695">
              <w:rPr>
                <w:rFonts w:ascii="Arial" w:hAnsi="Arial" w:cs="Arial"/>
              </w:rPr>
              <w:t xml:space="preserve">3 Lecture hours </w:t>
            </w:r>
          </w:p>
        </w:tc>
      </w:tr>
      <w:tr w:rsidR="009E3FDE" w:rsidRPr="00017695" w:rsidTr="00472A73">
        <w:tc>
          <w:tcPr>
            <w:tcW w:w="2988" w:type="dxa"/>
            <w:shd w:val="clear" w:color="auto" w:fill="auto"/>
          </w:tcPr>
          <w:p w:rsidR="009E3FDE" w:rsidRPr="00017695" w:rsidRDefault="009E3FDE" w:rsidP="00472A73">
            <w:pPr>
              <w:jc w:val="left"/>
              <w:rPr>
                <w:rFonts w:ascii="Arial" w:hAnsi="Arial" w:cs="Arial"/>
                <w:b/>
              </w:rPr>
            </w:pPr>
            <w:r w:rsidRPr="00017695">
              <w:rPr>
                <w:rFonts w:ascii="Arial" w:hAnsi="Arial" w:cs="Arial"/>
                <w:b/>
              </w:rPr>
              <w:t>Contact hours:</w:t>
            </w:r>
          </w:p>
        </w:tc>
        <w:tc>
          <w:tcPr>
            <w:tcW w:w="6588" w:type="dxa"/>
            <w:shd w:val="clear" w:color="auto" w:fill="auto"/>
          </w:tcPr>
          <w:p w:rsidR="009E3FDE" w:rsidRPr="00017695" w:rsidRDefault="009E3FDE" w:rsidP="00472A73">
            <w:pPr>
              <w:jc w:val="left"/>
              <w:rPr>
                <w:rFonts w:ascii="Arial" w:hAnsi="Arial" w:cs="Arial"/>
              </w:rPr>
            </w:pPr>
            <w:r w:rsidRPr="00017695">
              <w:rPr>
                <w:rFonts w:ascii="Arial" w:hAnsi="Arial" w:cs="Arial"/>
              </w:rPr>
              <w:t xml:space="preserve">3 hours </w:t>
            </w:r>
          </w:p>
        </w:tc>
      </w:tr>
      <w:tr w:rsidR="009E3FDE" w:rsidRPr="00017695" w:rsidTr="00472A73">
        <w:tc>
          <w:tcPr>
            <w:tcW w:w="2988" w:type="dxa"/>
            <w:shd w:val="clear" w:color="auto" w:fill="auto"/>
          </w:tcPr>
          <w:p w:rsidR="009E3FDE" w:rsidRPr="00017695" w:rsidRDefault="009E3FDE" w:rsidP="00472A73">
            <w:pPr>
              <w:jc w:val="left"/>
              <w:rPr>
                <w:rFonts w:ascii="Arial" w:hAnsi="Arial" w:cs="Arial"/>
                <w:b/>
              </w:rPr>
            </w:pPr>
            <w:r w:rsidRPr="00017695">
              <w:rPr>
                <w:rFonts w:ascii="Arial" w:hAnsi="Arial" w:cs="Arial"/>
                <w:b/>
              </w:rPr>
              <w:t>Length of course:</w:t>
            </w:r>
          </w:p>
        </w:tc>
        <w:tc>
          <w:tcPr>
            <w:tcW w:w="6588" w:type="dxa"/>
            <w:shd w:val="clear" w:color="auto" w:fill="auto"/>
          </w:tcPr>
          <w:p w:rsidR="009E3FDE" w:rsidRPr="00017695" w:rsidRDefault="009E3FDE" w:rsidP="00472A73">
            <w:pPr>
              <w:jc w:val="left"/>
              <w:rPr>
                <w:rFonts w:ascii="Arial" w:hAnsi="Arial" w:cs="Arial"/>
                <w:b/>
              </w:rPr>
            </w:pPr>
            <w:r w:rsidRPr="00017695">
              <w:rPr>
                <w:rFonts w:ascii="Arial" w:hAnsi="Arial" w:cs="Arial"/>
              </w:rPr>
              <w:t>16 Weeks</w:t>
            </w:r>
          </w:p>
        </w:tc>
      </w:tr>
    </w:tbl>
    <w:p w:rsidR="009E3FDE" w:rsidRPr="001754B2" w:rsidRDefault="009E3FDE" w:rsidP="009E3FDE">
      <w:pPr>
        <w:jc w:val="left"/>
        <w:rPr>
          <w:rFonts w:ascii="Arial" w:hAnsi="Arial" w:cs="Arial"/>
        </w:rPr>
      </w:pPr>
    </w:p>
    <w:p w:rsidR="009E3FDE" w:rsidRPr="00017695" w:rsidRDefault="009E3FDE" w:rsidP="009E3FDE">
      <w:pPr>
        <w:jc w:val="left"/>
        <w:rPr>
          <w:rFonts w:ascii="Arial" w:hAnsi="Arial" w:cs="Arial"/>
          <w:b/>
        </w:rPr>
      </w:pPr>
      <w:r w:rsidRPr="00017695">
        <w:rPr>
          <w:rFonts w:ascii="Arial" w:hAnsi="Arial" w:cs="Arial"/>
          <w:b/>
        </w:rPr>
        <w:t>Course Description:</w:t>
      </w:r>
    </w:p>
    <w:p w:rsidR="009E3FDE" w:rsidRPr="002643EC" w:rsidRDefault="009E3FDE" w:rsidP="009E3FDE">
      <w:pPr>
        <w:jc w:val="both"/>
        <w:rPr>
          <w:rFonts w:ascii="Arial" w:hAnsi="Arial" w:cs="Arial"/>
        </w:rPr>
      </w:pPr>
      <w:r w:rsidRPr="002643EC">
        <w:rPr>
          <w:rFonts w:ascii="Arial" w:hAnsi="Arial" w:cs="Arial"/>
        </w:rPr>
        <w:t xml:space="preserve">This course introduces terminology, rationale and methodology used by third-party payers to determine the reimbursement for health care providers. Proper completion of the 1500 billing form and legal issues related to reimbursement will be discussed, as well as the role health information management plays in the charge master maintenance, reimbursement monitoring, revenue cycle. An overview of hospital and nursing home billing systems including proper submission of UB-92 billing forms will also be covered. </w:t>
      </w:r>
      <w:r w:rsidRPr="000842BA">
        <w:rPr>
          <w:rFonts w:ascii="Arial" w:hAnsi="Arial" w:cs="Arial"/>
          <w:color w:val="auto"/>
        </w:rPr>
        <w:t>Writing assignments, as appropriate to the discipline, are part of the course.</w:t>
      </w:r>
    </w:p>
    <w:p w:rsidR="009E3FDE" w:rsidRPr="00017695" w:rsidRDefault="009E3FDE" w:rsidP="009E3FDE">
      <w:pPr>
        <w:jc w:val="left"/>
        <w:rPr>
          <w:rFonts w:ascii="Arial" w:hAnsi="Arial" w:cs="Arial"/>
        </w:rPr>
      </w:pPr>
    </w:p>
    <w:p w:rsidR="009E3FDE" w:rsidRPr="00FF6F65" w:rsidRDefault="009E3FDE" w:rsidP="009E3FDE">
      <w:pPr>
        <w:jc w:val="left"/>
        <w:rPr>
          <w:rFonts w:ascii="Arial" w:hAnsi="Arial" w:cs="Arial"/>
          <w:b/>
        </w:rPr>
      </w:pPr>
      <w:r w:rsidRPr="00FF6F65">
        <w:rPr>
          <w:rFonts w:ascii="Arial" w:hAnsi="Arial" w:cs="Arial"/>
          <w:b/>
        </w:rPr>
        <w:t>Prerequisite (s):</w:t>
      </w:r>
    </w:p>
    <w:p w:rsidR="009E3FDE" w:rsidRDefault="009E3FDE" w:rsidP="009E3FDE">
      <w:pPr>
        <w:jc w:val="both"/>
        <w:rPr>
          <w:rFonts w:ascii="Arial" w:hAnsi="Arial" w:cs="Arial"/>
        </w:rPr>
      </w:pPr>
      <w:r>
        <w:rPr>
          <w:rFonts w:ascii="Arial" w:hAnsi="Arial" w:cs="Arial"/>
        </w:rPr>
        <w:t>None</w:t>
      </w:r>
    </w:p>
    <w:p w:rsidR="009E3FDE" w:rsidRPr="00FF6F65" w:rsidRDefault="009E3FDE" w:rsidP="009E3FDE">
      <w:pPr>
        <w:jc w:val="both"/>
        <w:rPr>
          <w:rFonts w:ascii="Arial" w:hAnsi="Arial" w:cs="Arial"/>
        </w:rPr>
      </w:pPr>
    </w:p>
    <w:p w:rsidR="009E3FDE" w:rsidRPr="00FF6F65" w:rsidRDefault="009E3FDE" w:rsidP="009E3FDE">
      <w:pPr>
        <w:jc w:val="left"/>
        <w:rPr>
          <w:rFonts w:ascii="Arial" w:hAnsi="Arial" w:cs="Arial"/>
          <w:b/>
        </w:rPr>
      </w:pPr>
      <w:r w:rsidRPr="00FF6F65">
        <w:rPr>
          <w:rFonts w:ascii="Arial" w:hAnsi="Arial" w:cs="Arial"/>
          <w:b/>
        </w:rPr>
        <w:t xml:space="preserve">Students the course is expected to serve: </w:t>
      </w:r>
    </w:p>
    <w:p w:rsidR="009E3FDE" w:rsidRPr="00C004B7" w:rsidRDefault="009E3FDE" w:rsidP="009E3FDE">
      <w:pPr>
        <w:jc w:val="left"/>
        <w:rPr>
          <w:rFonts w:ascii="Arial" w:hAnsi="Arial" w:cs="Arial"/>
        </w:rPr>
      </w:pPr>
      <w:r w:rsidRPr="00C004B7">
        <w:rPr>
          <w:rFonts w:ascii="Arial" w:hAnsi="Arial" w:cs="Arial"/>
        </w:rPr>
        <w:t>Students may</w:t>
      </w:r>
      <w:r w:rsidRPr="00C004B7">
        <w:rPr>
          <w:rFonts w:ascii="Arial" w:hAnsi="Arial" w:cs="Arial"/>
          <w:b/>
        </w:rPr>
        <w:t xml:space="preserve"> </w:t>
      </w:r>
      <w:r w:rsidRPr="00C004B7">
        <w:rPr>
          <w:rFonts w:ascii="Arial" w:hAnsi="Arial" w:cs="Arial"/>
        </w:rPr>
        <w:t>take this course to meet concentration</w:t>
      </w:r>
      <w:r>
        <w:rPr>
          <w:rFonts w:ascii="Arial" w:hAnsi="Arial" w:cs="Arial"/>
        </w:rPr>
        <w:t xml:space="preserve"> or elective requirements for a certificate or</w:t>
      </w:r>
      <w:r w:rsidRPr="00C004B7">
        <w:rPr>
          <w:rFonts w:ascii="Arial" w:hAnsi="Arial" w:cs="Arial"/>
        </w:rPr>
        <w:t xml:space="preserve"> Associate’s degree of applied science (AAS)</w:t>
      </w:r>
      <w:r>
        <w:rPr>
          <w:rFonts w:ascii="Arial" w:hAnsi="Arial" w:cs="Arial"/>
        </w:rPr>
        <w:t xml:space="preserve"> in health information management (HIM).</w:t>
      </w:r>
    </w:p>
    <w:p w:rsidR="009E3FDE" w:rsidRDefault="009E3FDE" w:rsidP="009E3FDE">
      <w:pPr>
        <w:jc w:val="left"/>
        <w:rPr>
          <w:rFonts w:ascii="Arial" w:hAnsi="Arial" w:cs="Arial"/>
          <w:b/>
        </w:rPr>
      </w:pPr>
    </w:p>
    <w:p w:rsidR="009E3FDE" w:rsidRPr="001754B2" w:rsidRDefault="009E3FDE" w:rsidP="009E3FDE">
      <w:pPr>
        <w:jc w:val="left"/>
        <w:rPr>
          <w:rFonts w:ascii="Arial" w:hAnsi="Arial" w:cs="Arial"/>
          <w:b/>
        </w:rPr>
      </w:pPr>
      <w:r>
        <w:rPr>
          <w:rFonts w:ascii="Arial" w:hAnsi="Arial" w:cs="Arial"/>
          <w:b/>
        </w:rPr>
        <w:t>C</w:t>
      </w:r>
      <w:r w:rsidRPr="001754B2">
        <w:rPr>
          <w:rFonts w:ascii="Arial" w:hAnsi="Arial" w:cs="Arial"/>
          <w:b/>
        </w:rPr>
        <w:t>ourse Objectives (CO):</w:t>
      </w:r>
    </w:p>
    <w:p w:rsidR="009E3FDE" w:rsidRPr="002165CE" w:rsidRDefault="009E3FDE" w:rsidP="009E3FDE">
      <w:pPr>
        <w:jc w:val="left"/>
        <w:rPr>
          <w:rFonts w:ascii="Arial" w:hAnsi="Arial" w:cs="Arial"/>
        </w:rPr>
      </w:pPr>
      <w:r w:rsidRPr="002165CE">
        <w:rPr>
          <w:rFonts w:ascii="Arial" w:hAnsi="Arial" w:cs="Arial"/>
        </w:rPr>
        <w:t xml:space="preserve">This course prepares students to be successful in </w:t>
      </w:r>
      <w:r>
        <w:rPr>
          <w:rFonts w:ascii="Arial" w:hAnsi="Arial" w:cs="Arial"/>
        </w:rPr>
        <w:t>HIM</w:t>
      </w:r>
      <w:r w:rsidRPr="002165CE">
        <w:rPr>
          <w:rFonts w:ascii="Arial" w:hAnsi="Arial" w:cs="Arial"/>
        </w:rPr>
        <w:t xml:space="preserve"> careers by increasing their knowledge, skills</w:t>
      </w:r>
      <w:r>
        <w:rPr>
          <w:rFonts w:ascii="Arial" w:hAnsi="Arial" w:cs="Arial"/>
        </w:rPr>
        <w:t>,</w:t>
      </w:r>
      <w:r w:rsidRPr="002165CE">
        <w:rPr>
          <w:rFonts w:ascii="Arial" w:hAnsi="Arial" w:cs="Arial"/>
        </w:rPr>
        <w:t xml:space="preserve"> and ability to: </w:t>
      </w:r>
    </w:p>
    <w:p w:rsidR="009E3FDE" w:rsidRPr="00AB010E" w:rsidRDefault="009E3FDE" w:rsidP="009E3FDE">
      <w:pPr>
        <w:numPr>
          <w:ilvl w:val="0"/>
          <w:numId w:val="1"/>
        </w:numPr>
        <w:jc w:val="both"/>
        <w:rPr>
          <w:rFonts w:ascii="Arial" w:hAnsi="Arial" w:cs="Arial"/>
        </w:rPr>
      </w:pPr>
      <w:r>
        <w:rPr>
          <w:rFonts w:ascii="Arial" w:hAnsi="Arial" w:cs="Arial"/>
        </w:rPr>
        <w:t>define t</w:t>
      </w:r>
      <w:r w:rsidRPr="00AB010E">
        <w:rPr>
          <w:rFonts w:ascii="Arial" w:hAnsi="Arial" w:cs="Arial"/>
        </w:rPr>
        <w:t xml:space="preserve">he clinical terms on the uhdds: </w:t>
      </w:r>
      <w:r w:rsidRPr="00AB010E">
        <w:rPr>
          <w:rStyle w:val="Emphasis"/>
          <w:rFonts w:ascii="Arial" w:hAnsi="Arial" w:cs="Arial"/>
          <w:i w:val="0"/>
        </w:rPr>
        <w:t>principal diagnosis, other diagnoses, complication co-morbidity, significant procedure and principal procedure</w:t>
      </w:r>
      <w:r w:rsidRPr="00AB010E">
        <w:rPr>
          <w:rStyle w:val="Emphasis"/>
          <w:rFonts w:ascii="Arial" w:hAnsi="Arial" w:cs="Arial"/>
        </w:rPr>
        <w:t>.</w:t>
      </w:r>
      <w:r w:rsidRPr="00AB010E">
        <w:rPr>
          <w:rFonts w:ascii="Arial" w:hAnsi="Arial" w:cs="Arial"/>
        </w:rPr>
        <w:t xml:space="preserve"> </w:t>
      </w:r>
    </w:p>
    <w:p w:rsidR="009E3FDE" w:rsidRPr="00AB010E" w:rsidRDefault="009E3FDE" w:rsidP="009E3FDE">
      <w:pPr>
        <w:numPr>
          <w:ilvl w:val="0"/>
          <w:numId w:val="1"/>
        </w:numPr>
        <w:adjustRightInd w:val="0"/>
        <w:jc w:val="both"/>
        <w:rPr>
          <w:rFonts w:ascii="Arial" w:hAnsi="Arial" w:cs="Arial"/>
        </w:rPr>
      </w:pPr>
      <w:r w:rsidRPr="00AB010E">
        <w:rPr>
          <w:rFonts w:ascii="Arial" w:hAnsi="Arial" w:cs="Arial"/>
        </w:rPr>
        <w:t>perform data quality reviews to validate code assignment.</w:t>
      </w:r>
    </w:p>
    <w:p w:rsidR="009E3FDE" w:rsidRPr="00AB010E" w:rsidRDefault="009E3FDE" w:rsidP="009E3FDE">
      <w:pPr>
        <w:numPr>
          <w:ilvl w:val="0"/>
          <w:numId w:val="1"/>
        </w:numPr>
        <w:adjustRightInd w:val="0"/>
        <w:jc w:val="both"/>
        <w:rPr>
          <w:rFonts w:ascii="Arial" w:hAnsi="Arial" w:cs="Arial"/>
        </w:rPr>
      </w:pPr>
      <w:r>
        <w:rPr>
          <w:rFonts w:ascii="Arial" w:hAnsi="Arial" w:cs="Arial"/>
        </w:rPr>
        <w:t>c</w:t>
      </w:r>
      <w:r w:rsidRPr="00AB010E">
        <w:rPr>
          <w:rFonts w:ascii="Arial" w:hAnsi="Arial" w:cs="Arial"/>
        </w:rPr>
        <w:t>omply with reimbursement and reporting requirements.</w:t>
      </w:r>
    </w:p>
    <w:p w:rsidR="009E3FDE" w:rsidRPr="00AB010E" w:rsidRDefault="009E3FDE" w:rsidP="009E3FDE">
      <w:pPr>
        <w:numPr>
          <w:ilvl w:val="0"/>
          <w:numId w:val="1"/>
        </w:numPr>
        <w:jc w:val="both"/>
        <w:rPr>
          <w:rFonts w:ascii="Arial" w:hAnsi="Arial" w:cs="Arial"/>
        </w:rPr>
      </w:pPr>
      <w:r>
        <w:rPr>
          <w:rFonts w:ascii="Arial" w:hAnsi="Arial" w:cs="Arial"/>
        </w:rPr>
        <w:t>discuss r</w:t>
      </w:r>
      <w:r w:rsidRPr="00AB010E">
        <w:rPr>
          <w:rFonts w:ascii="Arial" w:hAnsi="Arial" w:cs="Arial"/>
        </w:rPr>
        <w:t>equired and mandatory disclosure laws and hipaa in relation to insurance procedures.</w:t>
      </w:r>
    </w:p>
    <w:p w:rsidR="009E3FDE" w:rsidRPr="009E3FDE" w:rsidRDefault="009E3FDE" w:rsidP="009E3FDE">
      <w:pPr>
        <w:numPr>
          <w:ilvl w:val="0"/>
          <w:numId w:val="1"/>
        </w:numPr>
        <w:jc w:val="left"/>
        <w:rPr>
          <w:rFonts w:ascii="Arial" w:hAnsi="Arial" w:cs="Arial"/>
        </w:rPr>
      </w:pPr>
      <w:r>
        <w:rPr>
          <w:rFonts w:ascii="Arial" w:hAnsi="Arial" w:cs="Arial"/>
        </w:rPr>
        <w:t>u</w:t>
      </w:r>
      <w:r w:rsidRPr="00AB010E">
        <w:rPr>
          <w:rFonts w:ascii="Arial" w:hAnsi="Arial" w:cs="Arial"/>
        </w:rPr>
        <w:t>tilize specialized software in the completion of billing in him processes</w:t>
      </w:r>
    </w:p>
    <w:p w:rsidR="009E3FDE" w:rsidRPr="002165CE" w:rsidRDefault="009E3FDE" w:rsidP="009E3FDE">
      <w:pPr>
        <w:spacing w:before="120"/>
        <w:jc w:val="left"/>
        <w:rPr>
          <w:rFonts w:ascii="Arial" w:hAnsi="Arial" w:cs="Arial"/>
          <w:b/>
        </w:rPr>
      </w:pPr>
      <w:r w:rsidRPr="002165CE">
        <w:rPr>
          <w:rFonts w:ascii="Arial" w:hAnsi="Arial" w:cs="Arial"/>
          <w:b/>
        </w:rPr>
        <w:t>Student Learning Outcomes:</w:t>
      </w:r>
    </w:p>
    <w:p w:rsidR="009E3FDE" w:rsidRPr="001754B2" w:rsidRDefault="009E3FDE" w:rsidP="009E3FDE">
      <w:pPr>
        <w:jc w:val="left"/>
        <w:rPr>
          <w:rFonts w:ascii="Arial" w:hAnsi="Arial" w:cs="Arial"/>
        </w:rPr>
      </w:pPr>
      <w:r w:rsidRPr="002165CE">
        <w:rPr>
          <w:rFonts w:ascii="Arial" w:hAnsi="Arial" w:cs="Arial"/>
        </w:rPr>
        <w:t>Upon successful completion of this cour</w:t>
      </w:r>
      <w:r>
        <w:rPr>
          <w:rFonts w:ascii="Arial" w:hAnsi="Arial" w:cs="Arial"/>
        </w:rPr>
        <w:t>se the student will be able to:</w:t>
      </w:r>
    </w:p>
    <w:p w:rsidR="009E3FDE" w:rsidRPr="002643EC" w:rsidRDefault="009E3FDE" w:rsidP="009E3FDE">
      <w:pPr>
        <w:numPr>
          <w:ilvl w:val="0"/>
          <w:numId w:val="2"/>
        </w:numPr>
        <w:jc w:val="left"/>
        <w:rPr>
          <w:rFonts w:ascii="Arial" w:hAnsi="Arial" w:cs="Arial"/>
        </w:rPr>
      </w:pPr>
      <w:r w:rsidRPr="002643EC">
        <w:rPr>
          <w:rFonts w:ascii="Arial" w:hAnsi="Arial" w:cs="Arial"/>
        </w:rPr>
        <w:t>identify situations when NCCI edits are present and take corrective action</w:t>
      </w:r>
    </w:p>
    <w:p w:rsidR="009E3FDE" w:rsidRPr="002643EC" w:rsidRDefault="009E3FDE" w:rsidP="009E3FDE">
      <w:pPr>
        <w:numPr>
          <w:ilvl w:val="0"/>
          <w:numId w:val="2"/>
        </w:numPr>
        <w:jc w:val="left"/>
        <w:rPr>
          <w:rFonts w:ascii="Arial" w:hAnsi="Arial" w:cs="Arial"/>
        </w:rPr>
      </w:pPr>
      <w:r w:rsidRPr="002643EC">
        <w:rPr>
          <w:rFonts w:ascii="Arial" w:hAnsi="Arial" w:cs="Arial"/>
        </w:rPr>
        <w:t>describe a work plan and NCCI edits.</w:t>
      </w:r>
    </w:p>
    <w:p w:rsidR="009E3FDE" w:rsidRPr="002643EC" w:rsidRDefault="009E3FDE" w:rsidP="009E3FDE">
      <w:pPr>
        <w:numPr>
          <w:ilvl w:val="0"/>
          <w:numId w:val="2"/>
        </w:numPr>
        <w:jc w:val="left"/>
        <w:rPr>
          <w:rFonts w:ascii="Arial" w:hAnsi="Arial" w:cs="Arial"/>
        </w:rPr>
      </w:pPr>
      <w:r w:rsidRPr="002643EC">
        <w:rPr>
          <w:rFonts w:ascii="Arial" w:hAnsi="Arial" w:cs="Arial"/>
        </w:rPr>
        <w:t xml:space="preserve">explain the role of payer audits and its impact on healthcare. </w:t>
      </w:r>
    </w:p>
    <w:p w:rsidR="009E3FDE" w:rsidRPr="002643EC" w:rsidRDefault="009E3FDE" w:rsidP="009E3FDE">
      <w:pPr>
        <w:numPr>
          <w:ilvl w:val="0"/>
          <w:numId w:val="2"/>
        </w:numPr>
        <w:jc w:val="left"/>
        <w:rPr>
          <w:rFonts w:ascii="Arial" w:hAnsi="Arial" w:cs="Arial"/>
        </w:rPr>
      </w:pPr>
      <w:r w:rsidRPr="002643EC">
        <w:rPr>
          <w:rFonts w:ascii="Arial" w:hAnsi="Arial" w:cs="Arial"/>
        </w:rPr>
        <w:t xml:space="preserve">explain the required and mandatory disclosure laws and HIPPA in relation to insurance.  </w:t>
      </w:r>
    </w:p>
    <w:p w:rsidR="009E3FDE" w:rsidRPr="002643EC" w:rsidRDefault="009E3FDE" w:rsidP="009E3FDE">
      <w:pPr>
        <w:numPr>
          <w:ilvl w:val="0"/>
          <w:numId w:val="2"/>
        </w:numPr>
        <w:jc w:val="left"/>
        <w:rPr>
          <w:rFonts w:ascii="Arial" w:hAnsi="Arial" w:cs="Arial"/>
        </w:rPr>
      </w:pPr>
      <w:r w:rsidRPr="002643EC">
        <w:rPr>
          <w:rFonts w:ascii="Arial" w:hAnsi="Arial" w:cs="Arial"/>
        </w:rPr>
        <w:t>compare the different types of insurance plans (HMO and PPO)</w:t>
      </w:r>
    </w:p>
    <w:p w:rsidR="009E3FDE" w:rsidRPr="002643EC" w:rsidRDefault="009E3FDE" w:rsidP="009E3FDE">
      <w:pPr>
        <w:numPr>
          <w:ilvl w:val="0"/>
          <w:numId w:val="2"/>
        </w:numPr>
        <w:jc w:val="left"/>
        <w:rPr>
          <w:rFonts w:ascii="Arial" w:hAnsi="Arial" w:cs="Arial"/>
        </w:rPr>
      </w:pPr>
      <w:r w:rsidRPr="002643EC">
        <w:rPr>
          <w:rFonts w:ascii="Arial" w:hAnsi="Arial" w:cs="Arial"/>
        </w:rPr>
        <w:t xml:space="preserve">explain the various alternate payment options used in reimbursements. </w:t>
      </w:r>
    </w:p>
    <w:p w:rsidR="009E3FDE" w:rsidRPr="002643EC" w:rsidRDefault="009E3FDE" w:rsidP="009E3FDE">
      <w:pPr>
        <w:numPr>
          <w:ilvl w:val="0"/>
          <w:numId w:val="2"/>
        </w:numPr>
        <w:jc w:val="left"/>
        <w:rPr>
          <w:rFonts w:ascii="Arial" w:hAnsi="Arial" w:cs="Arial"/>
        </w:rPr>
      </w:pPr>
      <w:r w:rsidRPr="002643EC">
        <w:rPr>
          <w:rFonts w:ascii="Arial" w:hAnsi="Arial" w:cs="Arial"/>
        </w:rPr>
        <w:t>apply policies and procedures to comply with the changing regulation amongst various payment systems f</w:t>
      </w:r>
      <w:r>
        <w:rPr>
          <w:rFonts w:ascii="Arial" w:hAnsi="Arial" w:cs="Arial"/>
        </w:rPr>
        <w:t>or healthcare services such as Medicare, M</w:t>
      </w:r>
      <w:r w:rsidRPr="002643EC">
        <w:rPr>
          <w:rFonts w:ascii="Arial" w:hAnsi="Arial" w:cs="Arial"/>
        </w:rPr>
        <w:t xml:space="preserve">edicaid, and managed care. </w:t>
      </w:r>
    </w:p>
    <w:p w:rsidR="009E3FDE" w:rsidRPr="002643EC" w:rsidRDefault="009E3FDE" w:rsidP="009E3FDE">
      <w:pPr>
        <w:numPr>
          <w:ilvl w:val="0"/>
          <w:numId w:val="2"/>
        </w:numPr>
        <w:jc w:val="left"/>
        <w:rPr>
          <w:rFonts w:ascii="Arial" w:hAnsi="Arial" w:cs="Arial"/>
        </w:rPr>
      </w:pPr>
      <w:r w:rsidRPr="002643EC">
        <w:rPr>
          <w:rFonts w:ascii="Arial" w:hAnsi="Arial" w:cs="Arial"/>
        </w:rPr>
        <w:t xml:space="preserve">assess the draft claim and apply compliant standards to produce a clean claim.  </w:t>
      </w:r>
    </w:p>
    <w:p w:rsidR="009E3FDE" w:rsidRPr="002643EC" w:rsidRDefault="009E3FDE" w:rsidP="009E3FDE">
      <w:pPr>
        <w:numPr>
          <w:ilvl w:val="0"/>
          <w:numId w:val="2"/>
        </w:numPr>
        <w:jc w:val="left"/>
        <w:rPr>
          <w:rFonts w:ascii="Arial" w:hAnsi="Arial" w:cs="Arial"/>
        </w:rPr>
      </w:pPr>
      <w:r w:rsidRPr="002643EC">
        <w:rPr>
          <w:rFonts w:ascii="Arial" w:hAnsi="Arial" w:cs="Arial"/>
        </w:rPr>
        <w:t xml:space="preserve">produce claims when given simulated changes in payer policies and procedure. </w:t>
      </w:r>
    </w:p>
    <w:p w:rsidR="009E3FDE" w:rsidRDefault="009E3FDE" w:rsidP="009E3FDE">
      <w:pPr>
        <w:numPr>
          <w:ilvl w:val="0"/>
          <w:numId w:val="2"/>
        </w:numPr>
        <w:jc w:val="left"/>
        <w:rPr>
          <w:rFonts w:ascii="Arial" w:hAnsi="Arial" w:cs="Arial"/>
        </w:rPr>
      </w:pPr>
      <w:r w:rsidRPr="002643EC">
        <w:rPr>
          <w:rFonts w:ascii="Arial" w:hAnsi="Arial" w:cs="Arial"/>
        </w:rPr>
        <w:t xml:space="preserve">prepare insurance claims using various methods. </w:t>
      </w:r>
    </w:p>
    <w:p w:rsidR="009E3FDE" w:rsidRPr="002643EC" w:rsidRDefault="009E3FDE" w:rsidP="009E3FDE">
      <w:pPr>
        <w:numPr>
          <w:ilvl w:val="0"/>
          <w:numId w:val="2"/>
        </w:numPr>
        <w:jc w:val="left"/>
        <w:rPr>
          <w:rFonts w:ascii="Arial" w:hAnsi="Arial" w:cs="Arial"/>
        </w:rPr>
      </w:pPr>
      <w:r w:rsidRPr="002643EC">
        <w:rPr>
          <w:rFonts w:ascii="Arial" w:hAnsi="Arial" w:cs="Arial"/>
        </w:rPr>
        <w:t>produce a clean 1500 form paper, elect</w:t>
      </w:r>
      <w:r>
        <w:rPr>
          <w:rFonts w:ascii="Arial" w:hAnsi="Arial" w:cs="Arial"/>
        </w:rPr>
        <w:t>ronic and a UB</w:t>
      </w:r>
      <w:r w:rsidRPr="002643EC">
        <w:rPr>
          <w:rFonts w:ascii="Arial" w:hAnsi="Arial" w:cs="Arial"/>
        </w:rPr>
        <w:t xml:space="preserve"> claim form. </w:t>
      </w:r>
    </w:p>
    <w:p w:rsidR="009E3FDE" w:rsidRPr="009E3FDE" w:rsidRDefault="009E3FDE" w:rsidP="009E3FDE">
      <w:pPr>
        <w:jc w:val="left"/>
        <w:rPr>
          <w:rFonts w:ascii="Arial" w:hAnsi="Arial" w:cs="Arial"/>
          <w:b/>
          <w:color w:val="auto"/>
        </w:rPr>
      </w:pPr>
      <w:r>
        <w:rPr>
          <w:rFonts w:ascii="Arial" w:hAnsi="Arial" w:cs="Arial"/>
          <w:b/>
          <w:color w:val="auto"/>
        </w:rPr>
        <w:br w:type="page"/>
      </w:r>
      <w:r w:rsidRPr="003E75F3">
        <w:rPr>
          <w:rFonts w:ascii="Arial" w:hAnsi="Arial" w:cs="Arial"/>
          <w:b/>
          <w:color w:val="auto"/>
        </w:rPr>
        <w:lastRenderedPageBreak/>
        <w:t>Topical Outline:</w:t>
      </w:r>
      <w:r>
        <w:rPr>
          <w:rFonts w:ascii="Arial" w:hAnsi="Arial" w:cs="Arial"/>
          <w:b/>
          <w:color w:val="auto"/>
        </w:rPr>
        <w:t xml:space="preserve"> </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Healthcare Reimbursement Methodologies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Voluntary Health Insurance Plans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Government –Sponsored Healthcare Programs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Managed Care Plans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Charge master description and maintenance</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Health plan claims processing and coding</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Diagnosis Related Groups</w:t>
      </w:r>
    </w:p>
    <w:p w:rsidR="009E3FDE" w:rsidRPr="00AB010E" w:rsidRDefault="009E3FDE" w:rsidP="009E3FDE">
      <w:pPr>
        <w:numPr>
          <w:ilvl w:val="0"/>
          <w:numId w:val="3"/>
        </w:numPr>
        <w:tabs>
          <w:tab w:val="left" w:pos="1440"/>
        </w:tabs>
        <w:jc w:val="both"/>
        <w:rPr>
          <w:rFonts w:ascii="Arial" w:hAnsi="Arial" w:cs="Arial"/>
        </w:rPr>
      </w:pPr>
      <w:r w:rsidRPr="00AB010E">
        <w:rPr>
          <w:rFonts w:ascii="Arial" w:hAnsi="Arial" w:cs="Arial"/>
        </w:rPr>
        <w:t>Third Party payers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HMO, PPO</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Government Payers/Private Payers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Legal and Regulatory Issues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Coding Systems</w:t>
      </w:r>
    </w:p>
    <w:p w:rsidR="009E3FDE" w:rsidRPr="00AB010E" w:rsidRDefault="009E3FDE" w:rsidP="009E3FDE">
      <w:pPr>
        <w:numPr>
          <w:ilvl w:val="0"/>
          <w:numId w:val="3"/>
        </w:numPr>
        <w:tabs>
          <w:tab w:val="left" w:pos="1440"/>
        </w:tabs>
        <w:jc w:val="both"/>
        <w:rPr>
          <w:rFonts w:ascii="Arial" w:hAnsi="Arial" w:cs="Arial"/>
        </w:rPr>
      </w:pPr>
      <w:r w:rsidRPr="00AB010E">
        <w:rPr>
          <w:rFonts w:ascii="Arial" w:hAnsi="Arial" w:cs="Arial"/>
        </w:rPr>
        <w:t>Case Mixed Management</w:t>
      </w:r>
    </w:p>
    <w:p w:rsidR="009E3FDE" w:rsidRPr="00AB010E" w:rsidRDefault="009E3FDE" w:rsidP="009E3FDE">
      <w:pPr>
        <w:numPr>
          <w:ilvl w:val="0"/>
          <w:numId w:val="3"/>
        </w:numPr>
        <w:tabs>
          <w:tab w:val="left" w:pos="1440"/>
        </w:tabs>
        <w:jc w:val="both"/>
        <w:rPr>
          <w:rFonts w:ascii="Arial" w:hAnsi="Arial" w:cs="Arial"/>
        </w:rPr>
      </w:pPr>
      <w:r w:rsidRPr="00AB010E">
        <w:rPr>
          <w:rFonts w:ascii="Arial" w:hAnsi="Arial" w:cs="Arial"/>
        </w:rPr>
        <w:t>Reimbursement Methodologies</w:t>
      </w:r>
    </w:p>
    <w:p w:rsidR="009E3FDE" w:rsidRPr="00AB010E" w:rsidRDefault="009E3FDE" w:rsidP="009E3FDE">
      <w:pPr>
        <w:numPr>
          <w:ilvl w:val="0"/>
          <w:numId w:val="3"/>
        </w:numPr>
        <w:tabs>
          <w:tab w:val="left" w:pos="1440"/>
        </w:tabs>
        <w:ind w:left="1440" w:hanging="1080"/>
        <w:jc w:val="both"/>
        <w:rPr>
          <w:rFonts w:ascii="Arial" w:hAnsi="Arial" w:cs="Arial"/>
        </w:rPr>
      </w:pPr>
      <w:r w:rsidRPr="00AB010E">
        <w:rPr>
          <w:rFonts w:ascii="Arial" w:hAnsi="Arial" w:cs="Arial"/>
        </w:rPr>
        <w:t>Value Based Purchasing</w:t>
      </w:r>
    </w:p>
    <w:p w:rsidR="009E3FDE" w:rsidRPr="00AB010E" w:rsidRDefault="009E3FDE" w:rsidP="009E3FDE">
      <w:pPr>
        <w:numPr>
          <w:ilvl w:val="0"/>
          <w:numId w:val="3"/>
        </w:numPr>
        <w:tabs>
          <w:tab w:val="left" w:pos="1440"/>
        </w:tabs>
        <w:jc w:val="both"/>
        <w:rPr>
          <w:rFonts w:ascii="Arial" w:hAnsi="Arial" w:cs="Arial"/>
        </w:rPr>
      </w:pPr>
      <w:r w:rsidRPr="00AB010E">
        <w:rPr>
          <w:rFonts w:ascii="Arial" w:hAnsi="Arial" w:cs="Arial"/>
        </w:rPr>
        <w:t>Review/Final Exam</w:t>
      </w:r>
    </w:p>
    <w:p w:rsidR="009E3FDE" w:rsidRDefault="009E3FDE" w:rsidP="009E3FDE">
      <w:pPr>
        <w:jc w:val="both"/>
        <w:rPr>
          <w:rFonts w:ascii="Arial" w:hAnsi="Arial" w:cs="Arial"/>
          <w:b/>
        </w:rPr>
      </w:pPr>
    </w:p>
    <w:p w:rsidR="009E3FDE" w:rsidRPr="00025383" w:rsidRDefault="009E3FDE" w:rsidP="009E3FDE">
      <w:pPr>
        <w:jc w:val="both"/>
      </w:pPr>
      <w:r w:rsidRPr="001754B2">
        <w:rPr>
          <w:rFonts w:ascii="Arial" w:hAnsi="Arial" w:cs="Arial"/>
          <w:b/>
        </w:rPr>
        <w:t xml:space="preserve">Recommended methods of instruction:  </w:t>
      </w:r>
    </w:p>
    <w:p w:rsidR="009E3FDE" w:rsidRPr="00BC3736" w:rsidRDefault="009E3FDE" w:rsidP="009E3FDE">
      <w:pPr>
        <w:jc w:val="left"/>
        <w:rPr>
          <w:rFonts w:ascii="Arial" w:hAnsi="Arial" w:cs="Arial"/>
        </w:rPr>
      </w:pPr>
      <w:r w:rsidRPr="00BC3736">
        <w:rPr>
          <w:rFonts w:ascii="Arial" w:hAnsi="Arial" w:cs="Arial"/>
        </w:rPr>
        <w:t>D – Discussion/Lecture</w:t>
      </w:r>
    </w:p>
    <w:p w:rsidR="009E3FDE" w:rsidRPr="00BC3736" w:rsidRDefault="009E3FDE" w:rsidP="009E3FDE">
      <w:pPr>
        <w:jc w:val="both"/>
        <w:rPr>
          <w:rFonts w:ascii="Arial" w:hAnsi="Arial" w:cs="Arial"/>
        </w:rPr>
      </w:pPr>
      <w:r w:rsidRPr="00BC3736">
        <w:rPr>
          <w:rFonts w:ascii="Arial" w:hAnsi="Arial" w:cs="Arial"/>
        </w:rPr>
        <w:t xml:space="preserve">X – Lab/Lab Discussion </w:t>
      </w:r>
    </w:p>
    <w:p w:rsidR="009E3FDE" w:rsidRPr="00BC3736" w:rsidRDefault="009E3FDE" w:rsidP="009E3FDE">
      <w:pPr>
        <w:jc w:val="left"/>
        <w:rPr>
          <w:rFonts w:ascii="Arial" w:hAnsi="Arial" w:cs="Arial"/>
        </w:rPr>
      </w:pPr>
      <w:r w:rsidRPr="00BC3736">
        <w:rPr>
          <w:rFonts w:ascii="Arial" w:hAnsi="Arial" w:cs="Arial"/>
        </w:rPr>
        <w:t>O – Online activities</w:t>
      </w:r>
    </w:p>
    <w:p w:rsidR="009E3FDE" w:rsidRDefault="009E3FDE" w:rsidP="009E3FDE">
      <w:pPr>
        <w:jc w:val="left"/>
        <w:rPr>
          <w:rFonts w:ascii="Arial" w:hAnsi="Arial" w:cs="Arial"/>
        </w:rPr>
      </w:pPr>
      <w:r>
        <w:rPr>
          <w:rFonts w:ascii="Arial" w:hAnsi="Arial" w:cs="Arial"/>
        </w:rPr>
        <w:t xml:space="preserve">Other: Simulation </w:t>
      </w:r>
    </w:p>
    <w:p w:rsidR="009E3FDE" w:rsidRPr="00BC3736" w:rsidRDefault="009E3FDE" w:rsidP="009E3FDE">
      <w:pPr>
        <w:jc w:val="left"/>
        <w:rPr>
          <w:rFonts w:ascii="Arial" w:hAnsi="Arial" w:cs="Arial"/>
        </w:rPr>
      </w:pPr>
    </w:p>
    <w:p w:rsidR="009E3FDE" w:rsidRPr="001754B2" w:rsidRDefault="009E3FDE" w:rsidP="009E3FDE">
      <w:pPr>
        <w:jc w:val="left"/>
        <w:rPr>
          <w:rFonts w:ascii="Arial" w:hAnsi="Arial" w:cs="Arial"/>
          <w:b/>
        </w:rPr>
      </w:pPr>
      <w:r w:rsidRPr="001754B2">
        <w:rPr>
          <w:rFonts w:ascii="Arial" w:hAnsi="Arial" w:cs="Arial"/>
          <w:b/>
        </w:rPr>
        <w:t>Recommended methods of evaluation:</w:t>
      </w:r>
    </w:p>
    <w:p w:rsidR="009E3FDE" w:rsidRPr="00BC3736" w:rsidRDefault="009E3FDE" w:rsidP="009E3FDE">
      <w:pPr>
        <w:jc w:val="both"/>
        <w:rPr>
          <w:rFonts w:ascii="Arial" w:hAnsi="Arial" w:cs="Arial"/>
        </w:rPr>
      </w:pPr>
      <w:r w:rsidRPr="00BC3736">
        <w:rPr>
          <w:rFonts w:ascii="Arial" w:hAnsi="Arial" w:cs="Arial"/>
        </w:rPr>
        <w:t>Quizzes</w:t>
      </w:r>
    </w:p>
    <w:p w:rsidR="009E3FDE" w:rsidRPr="00BC3736" w:rsidRDefault="009E3FDE" w:rsidP="009E3FDE">
      <w:pPr>
        <w:jc w:val="both"/>
        <w:rPr>
          <w:rFonts w:ascii="Arial" w:hAnsi="Arial" w:cs="Arial"/>
        </w:rPr>
      </w:pPr>
      <w:r w:rsidRPr="00BC3736">
        <w:rPr>
          <w:rFonts w:ascii="Arial" w:hAnsi="Arial" w:cs="Arial"/>
        </w:rPr>
        <w:t>Participation</w:t>
      </w:r>
    </w:p>
    <w:p w:rsidR="009E3FDE" w:rsidRDefault="009E3FDE" w:rsidP="009E3FDE">
      <w:pPr>
        <w:jc w:val="both"/>
        <w:rPr>
          <w:rFonts w:ascii="Arial" w:hAnsi="Arial" w:cs="Arial"/>
        </w:rPr>
      </w:pPr>
      <w:r w:rsidRPr="00BC3736">
        <w:rPr>
          <w:rFonts w:ascii="Arial" w:hAnsi="Arial" w:cs="Arial"/>
        </w:rPr>
        <w:t>Lab performance</w:t>
      </w:r>
    </w:p>
    <w:p w:rsidR="009E3FDE" w:rsidRDefault="009E3FDE" w:rsidP="009E3FDE">
      <w:pPr>
        <w:jc w:val="left"/>
        <w:rPr>
          <w:rFonts w:ascii="Arial" w:hAnsi="Arial" w:cs="Arial"/>
        </w:rPr>
      </w:pPr>
      <w:r>
        <w:rPr>
          <w:rFonts w:ascii="Arial" w:hAnsi="Arial" w:cs="Arial"/>
        </w:rPr>
        <w:t>Case study assignments</w:t>
      </w:r>
    </w:p>
    <w:p w:rsidR="009E3FDE" w:rsidRDefault="009E3FDE" w:rsidP="009E3FDE">
      <w:pPr>
        <w:jc w:val="left"/>
        <w:rPr>
          <w:rFonts w:ascii="Arial" w:hAnsi="Arial" w:cs="Arial"/>
        </w:rPr>
      </w:pPr>
      <w:r>
        <w:rPr>
          <w:rFonts w:ascii="Arial" w:hAnsi="Arial" w:cs="Arial"/>
        </w:rPr>
        <w:t>Simulation assignments</w:t>
      </w:r>
    </w:p>
    <w:p w:rsidR="009E3FDE" w:rsidRPr="00BC3736" w:rsidRDefault="009E3FDE" w:rsidP="009E3FDE">
      <w:pPr>
        <w:jc w:val="both"/>
        <w:rPr>
          <w:rFonts w:ascii="Arial" w:hAnsi="Arial" w:cs="Arial"/>
        </w:rPr>
      </w:pPr>
      <w:r w:rsidRPr="00BC3736">
        <w:rPr>
          <w:rFonts w:ascii="Arial" w:hAnsi="Arial" w:cs="Arial"/>
        </w:rPr>
        <w:t>Comprehensive/Summative Midterm or Final Exam</w:t>
      </w:r>
    </w:p>
    <w:p w:rsidR="009E3FDE" w:rsidRPr="001754B2" w:rsidRDefault="009E3FDE" w:rsidP="009E3FDE">
      <w:pPr>
        <w:jc w:val="left"/>
        <w:rPr>
          <w:rFonts w:ascii="Arial" w:hAnsi="Arial" w:cs="Arial"/>
        </w:rPr>
      </w:pPr>
    </w:p>
    <w:p w:rsidR="009E3FDE" w:rsidRPr="001754B2" w:rsidRDefault="009E3FDE" w:rsidP="009E3FDE">
      <w:pPr>
        <w:jc w:val="left"/>
        <w:rPr>
          <w:rFonts w:ascii="Arial" w:hAnsi="Arial" w:cs="Arial"/>
          <w:b/>
        </w:rPr>
      </w:pPr>
      <w:r w:rsidRPr="001754B2">
        <w:rPr>
          <w:rFonts w:ascii="Arial" w:hAnsi="Arial" w:cs="Arial"/>
          <w:b/>
        </w:rPr>
        <w:t xml:space="preserve">Recommended Textbooks and Readings: </w:t>
      </w:r>
    </w:p>
    <w:p w:rsidR="009E3FDE" w:rsidRPr="002643EC" w:rsidRDefault="009E3FDE" w:rsidP="009E3FDE">
      <w:pPr>
        <w:jc w:val="left"/>
        <w:rPr>
          <w:rFonts w:ascii="Arial" w:hAnsi="Arial" w:cs="Arial"/>
        </w:rPr>
      </w:pPr>
      <w:r w:rsidRPr="002643EC">
        <w:rPr>
          <w:rFonts w:ascii="Arial" w:hAnsi="Arial" w:cs="Arial"/>
        </w:rPr>
        <w:t>Green</w:t>
      </w:r>
      <w:r>
        <w:rPr>
          <w:rFonts w:ascii="Arial" w:hAnsi="Arial" w:cs="Arial"/>
        </w:rPr>
        <w:t>, M. A.,</w:t>
      </w:r>
      <w:r w:rsidRPr="002643EC">
        <w:rPr>
          <w:rFonts w:ascii="Arial" w:hAnsi="Arial" w:cs="Arial"/>
        </w:rPr>
        <w:t xml:space="preserve"> Rowell,</w:t>
      </w:r>
      <w:r>
        <w:rPr>
          <w:rFonts w:ascii="Arial" w:hAnsi="Arial" w:cs="Arial"/>
        </w:rPr>
        <w:t xml:space="preserve"> J. C. (2011).</w:t>
      </w:r>
      <w:r w:rsidRPr="002643EC">
        <w:rPr>
          <w:rFonts w:ascii="Arial" w:hAnsi="Arial" w:cs="Arial"/>
        </w:rPr>
        <w:t xml:space="preserve"> </w:t>
      </w:r>
      <w:r w:rsidRPr="0022265B">
        <w:rPr>
          <w:rFonts w:ascii="Arial" w:hAnsi="Arial" w:cs="Arial"/>
          <w:i/>
        </w:rPr>
        <w:t>Understanding Health Insurance, A guide to Billing and Reimbursement, 10</w:t>
      </w:r>
      <w:r w:rsidRPr="0022265B">
        <w:rPr>
          <w:rFonts w:ascii="Arial" w:hAnsi="Arial" w:cs="Arial"/>
          <w:i/>
          <w:vertAlign w:val="superscript"/>
        </w:rPr>
        <w:t>th</w:t>
      </w:r>
      <w:r w:rsidRPr="0022265B">
        <w:rPr>
          <w:rFonts w:ascii="Arial" w:hAnsi="Arial" w:cs="Arial"/>
          <w:i/>
        </w:rPr>
        <w:t xml:space="preserve"> Ed.</w:t>
      </w:r>
      <w:r>
        <w:rPr>
          <w:rFonts w:ascii="Arial" w:hAnsi="Arial" w:cs="Arial"/>
          <w:i/>
        </w:rPr>
        <w:t xml:space="preserve"> </w:t>
      </w:r>
      <w:r>
        <w:rPr>
          <w:rFonts w:ascii="Arial" w:hAnsi="Arial" w:cs="Arial"/>
        </w:rPr>
        <w:t>Indepedence, KY: Cengage Learning. ISBN-10: 1111035180.</w:t>
      </w:r>
      <w:r w:rsidRPr="0022265B">
        <w:rPr>
          <w:rFonts w:ascii="Arial" w:hAnsi="Arial" w:cs="Arial"/>
        </w:rPr>
        <w:t xml:space="preserve"> ISBN-13: 978-1111035181</w:t>
      </w:r>
      <w:r>
        <w:rPr>
          <w:rFonts w:ascii="Arial" w:hAnsi="Arial" w:cs="Arial"/>
        </w:rPr>
        <w:t>.</w:t>
      </w:r>
    </w:p>
    <w:p w:rsidR="009E3FDE" w:rsidRDefault="009E3FDE" w:rsidP="009E3FDE">
      <w:pPr>
        <w:jc w:val="left"/>
        <w:rPr>
          <w:rFonts w:ascii="Arial" w:hAnsi="Arial" w:cs="Arial"/>
          <w:b/>
        </w:rPr>
      </w:pPr>
    </w:p>
    <w:p w:rsidR="009E3FDE" w:rsidRDefault="009E3FDE" w:rsidP="009E3FDE">
      <w:pPr>
        <w:jc w:val="left"/>
        <w:rPr>
          <w:rFonts w:ascii="Arial" w:hAnsi="Arial" w:cs="Arial"/>
          <w:b/>
        </w:rPr>
      </w:pPr>
      <w:r w:rsidRPr="002643EC">
        <w:rPr>
          <w:rFonts w:ascii="Arial" w:hAnsi="Arial" w:cs="Arial"/>
        </w:rPr>
        <w:t>Green</w:t>
      </w:r>
      <w:r>
        <w:rPr>
          <w:rFonts w:ascii="Arial" w:hAnsi="Arial" w:cs="Arial"/>
        </w:rPr>
        <w:t>, M. A.,</w:t>
      </w:r>
      <w:r w:rsidRPr="002643EC">
        <w:rPr>
          <w:rFonts w:ascii="Arial" w:hAnsi="Arial" w:cs="Arial"/>
        </w:rPr>
        <w:t xml:space="preserve"> Rowell,</w:t>
      </w:r>
      <w:r>
        <w:rPr>
          <w:rFonts w:ascii="Arial" w:hAnsi="Arial" w:cs="Arial"/>
        </w:rPr>
        <w:t xml:space="preserve"> J. C. (2011).</w:t>
      </w:r>
      <w:r w:rsidRPr="002643EC">
        <w:rPr>
          <w:rFonts w:ascii="Arial" w:hAnsi="Arial" w:cs="Arial"/>
        </w:rPr>
        <w:t xml:space="preserve"> </w:t>
      </w:r>
      <w:r w:rsidRPr="0022265B">
        <w:rPr>
          <w:rFonts w:ascii="Arial" w:hAnsi="Arial" w:cs="Arial"/>
          <w:i/>
        </w:rPr>
        <w:t>Workbook for Green’s</w:t>
      </w:r>
      <w:r>
        <w:rPr>
          <w:rFonts w:ascii="Arial" w:hAnsi="Arial" w:cs="Arial"/>
        </w:rPr>
        <w:t xml:space="preserve"> </w:t>
      </w:r>
      <w:r w:rsidRPr="0022265B">
        <w:rPr>
          <w:rFonts w:ascii="Arial" w:hAnsi="Arial" w:cs="Arial"/>
          <w:i/>
        </w:rPr>
        <w:t>Understanding Health Insurance, A guide to Billing and Reimbursement, 10</w:t>
      </w:r>
      <w:r w:rsidRPr="0022265B">
        <w:rPr>
          <w:rFonts w:ascii="Arial" w:hAnsi="Arial" w:cs="Arial"/>
          <w:i/>
          <w:vertAlign w:val="superscript"/>
        </w:rPr>
        <w:t>th</w:t>
      </w:r>
      <w:r w:rsidRPr="0022265B">
        <w:rPr>
          <w:rFonts w:ascii="Arial" w:hAnsi="Arial" w:cs="Arial"/>
          <w:i/>
        </w:rPr>
        <w:t xml:space="preserve"> Ed.</w:t>
      </w:r>
      <w:r>
        <w:rPr>
          <w:rFonts w:ascii="Arial" w:hAnsi="Arial" w:cs="Arial"/>
          <w:i/>
        </w:rPr>
        <w:t xml:space="preserve"> </w:t>
      </w:r>
      <w:r>
        <w:rPr>
          <w:rFonts w:ascii="Arial" w:hAnsi="Arial" w:cs="Arial"/>
        </w:rPr>
        <w:t>Indepedence, KY: Cengage Learning. ISBN-10: 1111035202.</w:t>
      </w:r>
      <w:r w:rsidRPr="0022265B">
        <w:rPr>
          <w:rFonts w:ascii="Arial" w:hAnsi="Arial" w:cs="Arial"/>
        </w:rPr>
        <w:t xml:space="preserve"> ISBN-13: 978-1111035204</w:t>
      </w:r>
      <w:r>
        <w:rPr>
          <w:rFonts w:ascii="Arial" w:hAnsi="Arial" w:cs="Arial"/>
        </w:rPr>
        <w:t>.</w:t>
      </w:r>
    </w:p>
    <w:p w:rsidR="009E3FDE" w:rsidRDefault="009E3FDE" w:rsidP="009E3FDE">
      <w:pPr>
        <w:jc w:val="left"/>
        <w:rPr>
          <w:rFonts w:ascii="Arial" w:hAnsi="Arial" w:cs="Arial"/>
          <w:b/>
        </w:rPr>
      </w:pPr>
    </w:p>
    <w:p w:rsidR="009E3FDE" w:rsidRPr="001754B2" w:rsidRDefault="009E3FDE" w:rsidP="009E3FDE">
      <w:pPr>
        <w:jc w:val="left"/>
        <w:rPr>
          <w:rFonts w:ascii="Arial" w:hAnsi="Arial" w:cs="Arial"/>
          <w:b/>
        </w:rPr>
      </w:pPr>
      <w:r w:rsidRPr="001754B2">
        <w:rPr>
          <w:rFonts w:ascii="Arial" w:hAnsi="Arial" w:cs="Arial"/>
          <w:b/>
        </w:rPr>
        <w:t>Recommended Supplies/Supplementary Materials:</w:t>
      </w:r>
    </w:p>
    <w:p w:rsidR="009E3FDE" w:rsidRPr="001754B2" w:rsidRDefault="009E3FDE" w:rsidP="009E3FDE">
      <w:pPr>
        <w:jc w:val="both"/>
        <w:rPr>
          <w:rFonts w:ascii="Arial" w:hAnsi="Arial" w:cs="Arial"/>
        </w:rPr>
        <w:sectPr w:rsidR="009E3FDE" w:rsidRPr="001754B2" w:rsidSect="009E3FDE">
          <w:headerReference w:type="even" r:id="rId7"/>
          <w:pgSz w:w="12240" w:h="15840"/>
          <w:pgMar w:top="720" w:right="720" w:bottom="720" w:left="720" w:header="720" w:footer="720" w:gutter="0"/>
          <w:cols w:space="720"/>
          <w:docGrid w:linePitch="299"/>
        </w:sectPr>
      </w:pPr>
    </w:p>
    <w:p w:rsidR="009E3FDE" w:rsidRDefault="009E3FDE" w:rsidP="009E3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rPr>
      </w:pPr>
      <w:r w:rsidRPr="00BC3736">
        <w:rPr>
          <w:rFonts w:ascii="Arial" w:hAnsi="Arial" w:cs="Arial"/>
        </w:rPr>
        <w:lastRenderedPageBreak/>
        <w:t>Personal computer or tablet device</w:t>
      </w:r>
      <w:r>
        <w:rPr>
          <w:rFonts w:ascii="Arial" w:hAnsi="Arial" w:cs="Arial"/>
        </w:rPr>
        <w:t xml:space="preserve"> for completion of HIM course work and computer simulation exercises.</w:t>
      </w:r>
    </w:p>
    <w:p w:rsidR="009E3FDE" w:rsidRDefault="009E3FDE" w:rsidP="009E3FDE">
      <w:pPr>
        <w:jc w:val="left"/>
        <w:rPr>
          <w:rFonts w:ascii="Arial" w:eastAsia="Times New Roman" w:hAnsi="Arial" w:cs="Arial"/>
          <w:b/>
          <w:i/>
          <w:color w:val="auto"/>
          <w:u w:val="single"/>
        </w:rPr>
      </w:pPr>
    </w:p>
    <w:p w:rsidR="009E3FDE" w:rsidRPr="00B2594C" w:rsidRDefault="009E3FDE" w:rsidP="009E3FDE">
      <w:pPr>
        <w:jc w:val="left"/>
        <w:rPr>
          <w:rFonts w:ascii="Arial" w:eastAsia="Times New Roman" w:hAnsi="Arial" w:cs="Arial"/>
          <w:color w:val="auto"/>
        </w:rPr>
      </w:pPr>
      <w:r w:rsidRPr="00B2594C">
        <w:rPr>
          <w:rFonts w:ascii="Arial" w:eastAsia="Times New Roman" w:hAnsi="Arial" w:cs="Arial"/>
          <w:b/>
          <w:i/>
          <w:color w:val="auto"/>
          <w:u w:val="single"/>
        </w:rPr>
        <w:t>Disability Access Center</w:t>
      </w:r>
      <w:r w:rsidRPr="00B2594C">
        <w:rPr>
          <w:rFonts w:ascii="Arial" w:eastAsia="Times New Roman" w:hAnsi="Arial" w:cs="Arial"/>
          <w:b/>
          <w:i/>
          <w:color w:val="auto"/>
        </w:rPr>
        <w:t>:</w:t>
      </w:r>
      <w:r w:rsidRPr="00B2594C">
        <w:rPr>
          <w:rFonts w:ascii="Arial" w:eastAsia="Times New Roman" w:hAnsi="Arial" w:cs="Arial"/>
          <w:color w:val="auto"/>
        </w:rPr>
        <w:t xml:space="preserve"> Please note: Any student with a disability, including a temporary disability, who is eligible for reasonable accommodations should contact the Disability Access Center located in room 1509 as soon as possible.</w:t>
      </w:r>
      <w:r w:rsidRPr="009E3FDE">
        <w:rPr>
          <w:rFonts w:ascii="Corbel" w:eastAsia="Calibri" w:hAnsi="Corbel" w:cs="Tahoma"/>
          <w:color w:val="333333"/>
          <w:sz w:val="21"/>
          <w:szCs w:val="21"/>
          <w:shd w:val="clear" w:color="auto" w:fill="FFFFFF"/>
        </w:rPr>
        <w:t xml:space="preserve"> </w:t>
      </w:r>
      <w:r w:rsidRPr="009E3FDE">
        <w:rPr>
          <w:rFonts w:ascii="Arial" w:eastAsia="Times New Roman" w:hAnsi="Arial" w:cs="Arial"/>
          <w:color w:val="auto"/>
        </w:rPr>
        <w:t xml:space="preserve">For more information visit </w:t>
      </w:r>
      <w:hyperlink r:id="rId8" w:history="1">
        <w:r w:rsidRPr="009E3FDE">
          <w:rPr>
            <w:rStyle w:val="Hyperlink"/>
            <w:rFonts w:ascii="Arial" w:eastAsia="Times New Roman" w:hAnsi="Arial" w:cs="Arial"/>
          </w:rPr>
          <w:t>The Disability Access Center</w:t>
        </w:r>
      </w:hyperlink>
      <w:r w:rsidRPr="009E3FDE">
        <w:rPr>
          <w:rFonts w:ascii="Arial" w:eastAsia="Times New Roman" w:hAnsi="Arial" w:cs="Arial"/>
          <w:color w:val="auto"/>
        </w:rPr>
        <w:t xml:space="preserve"> </w:t>
      </w:r>
      <w:r>
        <w:rPr>
          <w:rFonts w:ascii="Arial" w:eastAsia="Times New Roman" w:hAnsi="Arial" w:cs="Arial"/>
          <w:color w:val="auto"/>
        </w:rPr>
        <w:t>webpage on the college’s website.</w:t>
      </w:r>
    </w:p>
    <w:p w:rsidR="009E3FDE" w:rsidRDefault="009E3FDE" w:rsidP="009E3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rPr>
      </w:pPr>
    </w:p>
    <w:p w:rsidR="009E3FDE" w:rsidRPr="009E3FDE" w:rsidRDefault="009E3FDE" w:rsidP="009E3FDE">
      <w:pPr>
        <w:spacing w:before="100" w:beforeAutospacing="1" w:after="100" w:afterAutospacing="1"/>
        <w:jc w:val="left"/>
        <w:rPr>
          <w:rFonts w:ascii="Arial" w:hAnsi="Arial" w:cs="Arial"/>
          <w:sz w:val="18"/>
          <w:szCs w:val="18"/>
        </w:rPr>
      </w:pPr>
      <w:r w:rsidRPr="009E3FDE">
        <w:rPr>
          <w:rFonts w:ascii="Arial" w:hAnsi="Arial" w:cs="Arial"/>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54663D" w:rsidRPr="009E3FDE" w:rsidRDefault="009E3FDE" w:rsidP="009E3FDE">
      <w:pPr>
        <w:spacing w:before="100" w:beforeAutospacing="1" w:after="100" w:afterAutospacing="1" w:line="276" w:lineRule="auto"/>
        <w:jc w:val="left"/>
        <w:rPr>
          <w:rFonts w:ascii="Arial" w:hAnsi="Arial" w:cs="Arial"/>
          <w:sz w:val="18"/>
          <w:szCs w:val="18"/>
        </w:rPr>
      </w:pPr>
      <w:r w:rsidRPr="009E3FDE">
        <w:rPr>
          <w:rFonts w:ascii="Arial" w:eastAsia="Times New Roman" w:hAnsi="Arial" w:cs="Arial"/>
          <w:noProof/>
          <w:sz w:val="18"/>
          <w:szCs w:val="18"/>
        </w:rPr>
        <w:drawing>
          <wp:inline distT="0" distB="0" distL="0" distR="0" wp14:anchorId="22E05E03" wp14:editId="14835CC1">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9E3FDE">
        <w:rPr>
          <w:rFonts w:ascii="Arial" w:eastAsia="Times New Roman" w:hAnsi="Arial" w:cs="Arial"/>
          <w:sz w:val="18"/>
          <w:szCs w:val="18"/>
        </w:rPr>
        <w:t xml:space="preserve">  </w:t>
      </w:r>
      <w:r w:rsidRPr="009E3FDE">
        <w:rPr>
          <w:rFonts w:ascii="Arial" w:hAnsi="Arial" w:cs="Arial"/>
          <w:sz w:val="18"/>
          <w:szCs w:val="18"/>
        </w:rPr>
        <w:t xml:space="preserve">This work by the Health Professions Pathways (H2P) Consortium, a Department of Labor, TAACCCT funded project is licensed under a </w:t>
      </w:r>
      <w:hyperlink r:id="rId10" w:history="1">
        <w:r w:rsidRPr="009E3FDE">
          <w:rPr>
            <w:rFonts w:ascii="Arial" w:hAnsi="Arial" w:cs="Arial"/>
            <w:color w:val="0563C1"/>
            <w:sz w:val="18"/>
            <w:szCs w:val="18"/>
            <w:u w:val="single"/>
          </w:rPr>
          <w:t>Creative Commons Attribution 4.0 Unported License</w:t>
        </w:r>
      </w:hyperlink>
      <w:r w:rsidRPr="009E3FDE">
        <w:rPr>
          <w:rFonts w:ascii="Arial" w:hAnsi="Arial" w:cs="Arial"/>
          <w:sz w:val="18"/>
          <w:szCs w:val="18"/>
        </w:rPr>
        <w:t>.</w:t>
      </w:r>
    </w:p>
    <w:sectPr w:rsidR="0054663D" w:rsidRPr="009E3FDE" w:rsidSect="009644C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62" w:rsidRDefault="00CA5062">
      <w:r>
        <w:separator/>
      </w:r>
    </w:p>
  </w:endnote>
  <w:endnote w:type="continuationSeparator" w:id="0">
    <w:p w:rsidR="00CA5062" w:rsidRDefault="00C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62" w:rsidRDefault="00CA5062">
      <w:r>
        <w:separator/>
      </w:r>
    </w:p>
  </w:footnote>
  <w:footnote w:type="continuationSeparator" w:id="0">
    <w:p w:rsidR="00CA5062" w:rsidRDefault="00CA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B4" w:rsidRDefault="00CA5062" w:rsidP="00216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4FFC"/>
    <w:multiLevelType w:val="hybridMultilevel"/>
    <w:tmpl w:val="62B6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2767C"/>
    <w:multiLevelType w:val="hybridMultilevel"/>
    <w:tmpl w:val="8BBC37CC"/>
    <w:lvl w:ilvl="0" w:tplc="00063B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D62D8"/>
    <w:multiLevelType w:val="hybridMultilevel"/>
    <w:tmpl w:val="C6B2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DE"/>
    <w:rsid w:val="00301EF7"/>
    <w:rsid w:val="0054663D"/>
    <w:rsid w:val="009E3FDE"/>
    <w:rsid w:val="00CA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3106-6EF3-4B05-845E-BE6FF04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E3FDE"/>
    <w:pPr>
      <w:spacing w:after="0" w:line="240" w:lineRule="auto"/>
      <w:jc w:val="center"/>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E3FDE"/>
    <w:rPr>
      <w:i/>
      <w:iCs/>
    </w:rPr>
  </w:style>
  <w:style w:type="character" w:styleId="Hyperlink">
    <w:name w:val="Hyperlink"/>
    <w:basedOn w:val="DefaultParagraphFont"/>
    <w:uiPriority w:val="99"/>
    <w:unhideWhenUsed/>
    <w:rsid w:val="009E3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edu/colleges/malcolm-x/departments/Pages/Disability-Access-Center.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deed.en_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Malcolm X;H2P Health Professions Pathways;Open Educational Resources;HIM;HIM 203 Reimbursement Methodologies;Syllabus;TAACCCT</cp:keywords>
  <dc:description/>
  <cp:lastModifiedBy>jean-win7</cp:lastModifiedBy>
  <cp:revision>2</cp:revision>
  <dcterms:created xsi:type="dcterms:W3CDTF">2015-06-06T18:35:00Z</dcterms:created>
  <dcterms:modified xsi:type="dcterms:W3CDTF">2015-06-06T18:35:00Z</dcterms:modified>
</cp:coreProperties>
</file>