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05" w:rsidRDefault="00667805" w:rsidP="004C0CCF">
      <w:pPr>
        <w:ind w:left="0" w:firstLine="0"/>
        <w:jc w:val="center"/>
        <w:rPr>
          <w:b/>
        </w:rPr>
      </w:pPr>
    </w:p>
    <w:tbl>
      <w:tblPr>
        <w:tblStyle w:val="TableGrid1"/>
        <w:tblW w:w="103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3"/>
        <w:gridCol w:w="5040"/>
        <w:gridCol w:w="2362"/>
      </w:tblGrid>
      <w:tr w:rsidR="00667805" w:rsidRPr="00B13D15" w:rsidTr="00DD0AC3">
        <w:trPr>
          <w:jc w:val="center"/>
        </w:trPr>
        <w:tc>
          <w:tcPr>
            <w:tcW w:w="2903" w:type="dxa"/>
            <w:vAlign w:val="center"/>
          </w:tcPr>
          <w:p w:rsidR="00667805" w:rsidRPr="00B13D15" w:rsidRDefault="00667805" w:rsidP="00DD0AC3">
            <w:pPr>
              <w:ind w:right="336"/>
              <w:rPr>
                <w:b/>
              </w:rPr>
            </w:pPr>
            <w:r w:rsidRPr="00EC7055">
              <w:rPr>
                <w:noProof/>
              </w:rPr>
              <w:drawing>
                <wp:inline distT="0" distB="0" distL="0" distR="0" wp14:anchorId="47207B14" wp14:editId="441E87A8">
                  <wp:extent cx="1447800" cy="390525"/>
                  <wp:effectExtent l="0" t="0" r="0" b="9525"/>
                  <wp:docPr id="2" name="Picture 2" descr="E:\M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C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5800" cy="532946"/>
                          </a:xfrm>
                          <a:prstGeom prst="rect">
                            <a:avLst/>
                          </a:prstGeom>
                          <a:noFill/>
                          <a:ln>
                            <a:noFill/>
                          </a:ln>
                        </pic:spPr>
                      </pic:pic>
                    </a:graphicData>
                  </a:graphic>
                </wp:inline>
              </w:drawing>
            </w:r>
          </w:p>
        </w:tc>
        <w:tc>
          <w:tcPr>
            <w:tcW w:w="5040" w:type="dxa"/>
            <w:vAlign w:val="center"/>
          </w:tcPr>
          <w:p w:rsidR="007001AD" w:rsidRDefault="00667805" w:rsidP="00667805">
            <w:pPr>
              <w:jc w:val="center"/>
              <w:rPr>
                <w:b/>
              </w:rPr>
            </w:pPr>
            <w:proofErr w:type="spellStart"/>
            <w:r w:rsidRPr="004C0CCF">
              <w:rPr>
                <w:b/>
              </w:rPr>
              <w:t>MoHealthWINs</w:t>
            </w:r>
            <w:proofErr w:type="spellEnd"/>
            <w:r w:rsidRPr="004C0CCF">
              <w:rPr>
                <w:b/>
              </w:rPr>
              <w:t xml:space="preserve"> </w:t>
            </w:r>
          </w:p>
          <w:p w:rsidR="00667805" w:rsidRDefault="00667805" w:rsidP="00667805">
            <w:pPr>
              <w:jc w:val="center"/>
              <w:rPr>
                <w:b/>
              </w:rPr>
            </w:pPr>
            <w:r w:rsidRPr="004C0CCF">
              <w:rPr>
                <w:b/>
              </w:rPr>
              <w:t>Open Course Library</w:t>
            </w:r>
          </w:p>
          <w:p w:rsidR="00667805" w:rsidRDefault="00667805" w:rsidP="00667805">
            <w:pPr>
              <w:jc w:val="center"/>
              <w:rPr>
                <w:b/>
              </w:rPr>
            </w:pPr>
            <w:r>
              <w:rPr>
                <w:b/>
              </w:rPr>
              <w:t>Learning Activities</w:t>
            </w:r>
            <w:r w:rsidRPr="004C0CCF">
              <w:rPr>
                <w:b/>
              </w:rPr>
              <w:t xml:space="preserve"> </w:t>
            </w:r>
          </w:p>
          <w:p w:rsidR="00667805" w:rsidRDefault="00667805" w:rsidP="00667805">
            <w:pPr>
              <w:jc w:val="center"/>
              <w:rPr>
                <w:b/>
              </w:rPr>
            </w:pPr>
            <w:r>
              <w:rPr>
                <w:b/>
              </w:rPr>
              <w:t>Pharmacology Enrichment Class for Nursing Path</w:t>
            </w:r>
          </w:p>
          <w:p w:rsidR="007001AD" w:rsidRDefault="007001AD" w:rsidP="00667805">
            <w:pPr>
              <w:jc w:val="center"/>
              <w:rPr>
                <w:b/>
              </w:rPr>
            </w:pPr>
            <w:r>
              <w:rPr>
                <w:b/>
              </w:rPr>
              <w:t>MCCKC</w:t>
            </w:r>
          </w:p>
          <w:p w:rsidR="00667805" w:rsidRPr="00B13D15" w:rsidRDefault="00667805" w:rsidP="00DD0AC3">
            <w:pPr>
              <w:ind w:right="432"/>
              <w:jc w:val="center"/>
              <w:rPr>
                <w:b/>
              </w:rPr>
            </w:pPr>
          </w:p>
        </w:tc>
        <w:tc>
          <w:tcPr>
            <w:tcW w:w="2362" w:type="dxa"/>
            <w:vAlign w:val="center"/>
          </w:tcPr>
          <w:p w:rsidR="00667805" w:rsidRPr="00B13D15" w:rsidRDefault="00667805" w:rsidP="00DD0AC3">
            <w:pPr>
              <w:jc w:val="right"/>
              <w:rPr>
                <w:b/>
              </w:rPr>
            </w:pPr>
            <w:r>
              <w:rPr>
                <w:b/>
                <w:noProof/>
              </w:rPr>
              <w:drawing>
                <wp:inline distT="0" distB="0" distL="0" distR="0" wp14:anchorId="62470641" wp14:editId="59C7DDBA">
                  <wp:extent cx="971550" cy="5715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O_Health_Wins_logo-nosh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3337" cy="572552"/>
                          </a:xfrm>
                          <a:prstGeom prst="rect">
                            <a:avLst/>
                          </a:prstGeom>
                        </pic:spPr>
                      </pic:pic>
                    </a:graphicData>
                  </a:graphic>
                </wp:inline>
              </w:drawing>
            </w:r>
          </w:p>
        </w:tc>
      </w:tr>
    </w:tbl>
    <w:p w:rsidR="00667805" w:rsidRDefault="00667805" w:rsidP="004C0CCF">
      <w:pPr>
        <w:ind w:left="0" w:firstLine="0"/>
        <w:jc w:val="center"/>
        <w:rPr>
          <w:b/>
        </w:rPr>
      </w:pPr>
    </w:p>
    <w:p w:rsidR="00C44EC8" w:rsidRDefault="00667805" w:rsidP="004C0CCF">
      <w:pPr>
        <w:ind w:left="0" w:firstLine="0"/>
        <w:rPr>
          <w:b/>
        </w:rPr>
      </w:pPr>
      <w:r>
        <w:rPr>
          <w:b/>
        </w:rPr>
        <w:t>Learning Activities:</w:t>
      </w:r>
    </w:p>
    <w:p w:rsidR="00667805" w:rsidRDefault="00667805" w:rsidP="004C0CCF">
      <w:pPr>
        <w:ind w:left="0" w:firstLine="0"/>
        <w:rPr>
          <w:b/>
        </w:rPr>
      </w:pPr>
    </w:p>
    <w:p w:rsidR="00C44EC8" w:rsidRPr="00C83D8B" w:rsidRDefault="00C44EC8" w:rsidP="00C83D8B">
      <w:pPr>
        <w:pStyle w:val="ListParagraph"/>
        <w:numPr>
          <w:ilvl w:val="0"/>
          <w:numId w:val="2"/>
        </w:numPr>
        <w:rPr>
          <w:rFonts w:asciiTheme="minorHAnsi" w:hAnsiTheme="minorHAnsi"/>
          <w:sz w:val="22"/>
          <w:szCs w:val="22"/>
        </w:rPr>
      </w:pPr>
      <w:bookmarkStart w:id="0" w:name="_GoBack"/>
      <w:r w:rsidRPr="00C83D8B">
        <w:rPr>
          <w:rFonts w:asciiTheme="minorHAnsi" w:hAnsiTheme="minorHAnsi"/>
          <w:sz w:val="22"/>
          <w:szCs w:val="22"/>
        </w:rPr>
        <w:t>Apply what was taught during the class in specific scenarios.</w:t>
      </w:r>
    </w:p>
    <w:p w:rsidR="00C44EC8" w:rsidRPr="00C83D8B" w:rsidRDefault="00C44EC8" w:rsidP="00C83D8B">
      <w:pPr>
        <w:pStyle w:val="ListParagraph"/>
        <w:numPr>
          <w:ilvl w:val="0"/>
          <w:numId w:val="2"/>
        </w:numPr>
        <w:rPr>
          <w:rFonts w:asciiTheme="minorHAnsi" w:hAnsiTheme="minorHAnsi"/>
          <w:sz w:val="22"/>
          <w:szCs w:val="22"/>
        </w:rPr>
      </w:pPr>
      <w:r w:rsidRPr="00C83D8B">
        <w:rPr>
          <w:rFonts w:asciiTheme="minorHAnsi" w:hAnsiTheme="minorHAnsi"/>
          <w:sz w:val="22"/>
          <w:szCs w:val="22"/>
        </w:rPr>
        <w:t>Identify and solve any difficulties identifying and applying key terms related to pharmacology.</w:t>
      </w:r>
    </w:p>
    <w:p w:rsidR="00C44EC8" w:rsidRPr="00C83D8B" w:rsidRDefault="00C44EC8" w:rsidP="00C83D8B">
      <w:pPr>
        <w:pStyle w:val="ListParagraph"/>
        <w:numPr>
          <w:ilvl w:val="0"/>
          <w:numId w:val="2"/>
        </w:numPr>
        <w:rPr>
          <w:rFonts w:asciiTheme="minorHAnsi" w:hAnsiTheme="minorHAnsi"/>
          <w:sz w:val="22"/>
          <w:szCs w:val="22"/>
        </w:rPr>
      </w:pPr>
      <w:r w:rsidRPr="00C83D8B">
        <w:rPr>
          <w:rFonts w:asciiTheme="minorHAnsi" w:hAnsiTheme="minorHAnsi"/>
          <w:sz w:val="22"/>
          <w:szCs w:val="22"/>
        </w:rPr>
        <w:t>Take the pretest and posttest on the book chapters about Conversions between Measurement Systems. Exercises to convert among metric, household, and apothecary systems using ratio/proportion</w:t>
      </w:r>
    </w:p>
    <w:p w:rsidR="00C44EC8" w:rsidRPr="00C83D8B" w:rsidRDefault="00C44EC8" w:rsidP="00C83D8B">
      <w:pPr>
        <w:pStyle w:val="ListParagraph"/>
        <w:numPr>
          <w:ilvl w:val="0"/>
          <w:numId w:val="2"/>
        </w:numPr>
        <w:rPr>
          <w:rFonts w:asciiTheme="minorHAnsi" w:hAnsiTheme="minorHAnsi"/>
          <w:sz w:val="22"/>
          <w:szCs w:val="22"/>
        </w:rPr>
      </w:pPr>
      <w:r w:rsidRPr="00C83D8B">
        <w:rPr>
          <w:rFonts w:asciiTheme="minorHAnsi" w:hAnsiTheme="minorHAnsi"/>
          <w:sz w:val="22"/>
          <w:szCs w:val="22"/>
        </w:rPr>
        <w:t>Exercises to convert among metric, household, and apothecary systems using dimensional analysis</w:t>
      </w:r>
    </w:p>
    <w:p w:rsidR="00C44EC8" w:rsidRPr="00C83D8B" w:rsidRDefault="00C44EC8" w:rsidP="00C83D8B">
      <w:pPr>
        <w:pStyle w:val="ListParagraph"/>
        <w:numPr>
          <w:ilvl w:val="0"/>
          <w:numId w:val="2"/>
        </w:numPr>
        <w:rPr>
          <w:rFonts w:asciiTheme="minorHAnsi" w:hAnsiTheme="minorHAnsi"/>
          <w:sz w:val="22"/>
          <w:szCs w:val="22"/>
        </w:rPr>
      </w:pPr>
      <w:r w:rsidRPr="00C83D8B">
        <w:rPr>
          <w:rFonts w:asciiTheme="minorHAnsi" w:hAnsiTheme="minorHAnsi"/>
          <w:sz w:val="22"/>
          <w:szCs w:val="22"/>
        </w:rPr>
        <w:t xml:space="preserve">Apply what was taught during the class in specific scenarios using the Public Health Nursing Manual as reference. </w:t>
      </w:r>
    </w:p>
    <w:p w:rsidR="00C44EC8" w:rsidRPr="00C83D8B" w:rsidRDefault="00C44EC8" w:rsidP="00C83D8B">
      <w:pPr>
        <w:pStyle w:val="ListParagraph"/>
        <w:numPr>
          <w:ilvl w:val="0"/>
          <w:numId w:val="2"/>
        </w:numPr>
        <w:rPr>
          <w:rFonts w:asciiTheme="minorHAnsi" w:hAnsiTheme="minorHAnsi"/>
          <w:sz w:val="22"/>
          <w:szCs w:val="22"/>
        </w:rPr>
      </w:pPr>
      <w:r w:rsidRPr="00C83D8B">
        <w:rPr>
          <w:rFonts w:asciiTheme="minorHAnsi" w:hAnsiTheme="minorHAnsi"/>
          <w:sz w:val="22"/>
          <w:szCs w:val="22"/>
        </w:rPr>
        <w:t xml:space="preserve">Identify and solve any difficulties identifying and applying the knowledge of the ethical and legal responsibilities of the nursing profession when administering medications. </w:t>
      </w:r>
    </w:p>
    <w:p w:rsidR="00C44EC8" w:rsidRPr="00C83D8B" w:rsidRDefault="00C44EC8" w:rsidP="00C83D8B">
      <w:pPr>
        <w:pStyle w:val="ListParagraph"/>
        <w:numPr>
          <w:ilvl w:val="0"/>
          <w:numId w:val="2"/>
        </w:numPr>
        <w:rPr>
          <w:rFonts w:asciiTheme="minorHAnsi" w:hAnsiTheme="minorHAnsi"/>
          <w:sz w:val="22"/>
          <w:szCs w:val="22"/>
        </w:rPr>
      </w:pPr>
      <w:r w:rsidRPr="00C83D8B">
        <w:rPr>
          <w:rFonts w:asciiTheme="minorHAnsi" w:hAnsiTheme="minorHAnsi"/>
          <w:sz w:val="22"/>
          <w:szCs w:val="22"/>
        </w:rPr>
        <w:t>Students create scenarios based upon instructor’s guidelines and solve them.</w:t>
      </w:r>
    </w:p>
    <w:p w:rsidR="00C44EC8" w:rsidRPr="00C83D8B" w:rsidRDefault="00C44EC8" w:rsidP="00C83D8B">
      <w:pPr>
        <w:pStyle w:val="ListParagraph"/>
        <w:numPr>
          <w:ilvl w:val="0"/>
          <w:numId w:val="2"/>
        </w:numPr>
        <w:rPr>
          <w:rFonts w:asciiTheme="minorHAnsi" w:hAnsiTheme="minorHAnsi"/>
          <w:sz w:val="22"/>
          <w:szCs w:val="22"/>
        </w:rPr>
      </w:pPr>
      <w:r w:rsidRPr="00C83D8B">
        <w:rPr>
          <w:rFonts w:asciiTheme="minorHAnsi" w:hAnsiTheme="minorHAnsi"/>
          <w:sz w:val="22"/>
          <w:szCs w:val="22"/>
        </w:rPr>
        <w:t>The instructor describes a scenario including classification, dosages, action, side effects and contraindications. The students need to find errors. Reference Toolbox meds.</w:t>
      </w:r>
    </w:p>
    <w:p w:rsidR="004C0CCF" w:rsidRPr="00C83D8B" w:rsidRDefault="00C44EC8" w:rsidP="00C83D8B">
      <w:pPr>
        <w:pStyle w:val="ListParagraph"/>
        <w:numPr>
          <w:ilvl w:val="0"/>
          <w:numId w:val="2"/>
        </w:numPr>
        <w:rPr>
          <w:rFonts w:asciiTheme="minorHAnsi" w:hAnsiTheme="minorHAnsi"/>
          <w:sz w:val="22"/>
          <w:szCs w:val="22"/>
        </w:rPr>
      </w:pPr>
      <w:r w:rsidRPr="00C83D8B">
        <w:rPr>
          <w:rFonts w:asciiTheme="minorHAnsi" w:hAnsiTheme="minorHAnsi"/>
          <w:sz w:val="22"/>
          <w:szCs w:val="22"/>
        </w:rPr>
        <w:t>The instructor describes a scenario including classification, dosages, action, side effects, contraindications and error in charting. The students need to find the errors. Reference Toolbox meds</w:t>
      </w:r>
      <w:r w:rsidRPr="00C83D8B">
        <w:rPr>
          <w:rFonts w:asciiTheme="minorHAnsi" w:hAnsiTheme="minorHAnsi"/>
          <w:sz w:val="22"/>
          <w:szCs w:val="22"/>
        </w:rPr>
        <w:cr/>
        <w:t>The student creates scenarios and using a rubric classifies the quality of client support.  Meeting educational needs through accurate, clear communication is measured by the MO Standards regulating the Nursing profession.</w:t>
      </w:r>
    </w:p>
    <w:bookmarkEnd w:id="0"/>
    <w:p w:rsidR="0048182F" w:rsidRDefault="0048182F">
      <w:pPr>
        <w:ind w:left="0" w:firstLine="0"/>
      </w:pPr>
    </w:p>
    <w:p w:rsidR="0048182F" w:rsidRDefault="0048182F" w:rsidP="0048182F">
      <w:pPr>
        <w:ind w:left="0" w:firstLine="0"/>
        <w:rPr>
          <w:sz w:val="16"/>
          <w:szCs w:val="16"/>
        </w:rPr>
      </w:pPr>
      <w:r>
        <w:rPr>
          <w:sz w:val="16"/>
          <w:szCs w:val="16"/>
        </w:rPr>
        <w:t xml:space="preserve">This template is based on the work by the Washington State Colleges licensed under a Creative Commons Attribution 3.0 </w:t>
      </w:r>
      <w:proofErr w:type="spellStart"/>
      <w:r>
        <w:rPr>
          <w:sz w:val="16"/>
          <w:szCs w:val="16"/>
        </w:rPr>
        <w:t>Unported</w:t>
      </w:r>
      <w:proofErr w:type="spellEnd"/>
      <w:r>
        <w:rPr>
          <w:sz w:val="16"/>
          <w:szCs w:val="16"/>
        </w:rPr>
        <w:t xml:space="preserve"> License. The Open Course Library is funded by the Bill &amp; Melinda Gates Foundation and the Washington State Legislature.</w:t>
      </w:r>
    </w:p>
    <w:p w:rsidR="0048182F" w:rsidRDefault="0048182F">
      <w:pPr>
        <w:ind w:left="0" w:firstLine="0"/>
      </w:pPr>
    </w:p>
    <w:p w:rsidR="00667805" w:rsidRDefault="00667805">
      <w:pPr>
        <w:ind w:left="0" w:firstLine="0"/>
      </w:pPr>
    </w:p>
    <w:p w:rsidR="00667805" w:rsidRDefault="00667805" w:rsidP="00667805">
      <w:pPr>
        <w:ind w:left="0" w:firstLine="0"/>
        <w:rPr>
          <w:i/>
          <w:iCs/>
          <w:color w:val="1F497D"/>
          <w:sz w:val="16"/>
          <w:szCs w:val="12"/>
        </w:rPr>
      </w:pPr>
      <w:r>
        <w:rPr>
          <w:b/>
          <w:noProof/>
        </w:rPr>
        <w:drawing>
          <wp:inline distT="0" distB="0" distL="0" distR="0" wp14:anchorId="1D823386" wp14:editId="26FF614A">
            <wp:extent cx="971550" cy="571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O_Health_Wins_logo-nosh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3337" cy="572552"/>
                    </a:xfrm>
                    <a:prstGeom prst="rect">
                      <a:avLst/>
                    </a:prstGeom>
                  </pic:spPr>
                </pic:pic>
              </a:graphicData>
            </a:graphic>
          </wp:inline>
        </w:drawing>
      </w:r>
      <w:proofErr w:type="spellStart"/>
      <w:r>
        <w:rPr>
          <w:i/>
          <w:iCs/>
          <w:color w:val="1F497D"/>
          <w:sz w:val="16"/>
          <w:szCs w:val="12"/>
        </w:rPr>
        <w:t>MoHealthWINS</w:t>
      </w:r>
      <w:proofErr w:type="spellEnd"/>
    </w:p>
    <w:p w:rsidR="00667805" w:rsidRDefault="00667805" w:rsidP="00667805">
      <w:pPr>
        <w:ind w:left="0" w:firstLine="0"/>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Pr>
          <w:i/>
          <w:iCs/>
          <w:color w:val="1F497D"/>
          <w:sz w:val="16"/>
          <w:szCs w:val="12"/>
        </w:rPr>
        <w:t xml:space="preserve">  </w:t>
      </w:r>
    </w:p>
    <w:p w:rsidR="00667805" w:rsidRDefault="00667805" w:rsidP="00667805">
      <w:pPr>
        <w:ind w:left="0" w:firstLine="0"/>
      </w:pPr>
    </w:p>
    <w:p w:rsidR="00667805" w:rsidRDefault="00667805" w:rsidP="00667805">
      <w:pPr>
        <w:ind w:left="0" w:firstLine="0"/>
      </w:pPr>
    </w:p>
    <w:p w:rsidR="00667805" w:rsidRDefault="00667805" w:rsidP="00667805">
      <w:pPr>
        <w:ind w:left="0" w:firstLine="0"/>
      </w:pPr>
      <w:r>
        <w:rPr>
          <w:noProof/>
        </w:rPr>
        <w:drawing>
          <wp:inline distT="0" distB="0" distL="0" distR="0" wp14:anchorId="2E4423E8" wp14:editId="072254D3">
            <wp:extent cx="958291" cy="335909"/>
            <wp:effectExtent l="0" t="0" r="0" b="7620"/>
            <wp:docPr id="3" name="Picture 3"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436" cy="335960"/>
                    </a:xfrm>
                    <a:prstGeom prst="rect">
                      <a:avLst/>
                    </a:prstGeom>
                    <a:noFill/>
                    <a:ln>
                      <a:noFill/>
                    </a:ln>
                  </pic:spPr>
                </pic:pic>
              </a:graphicData>
            </a:graphic>
          </wp:inline>
        </w:drawing>
      </w:r>
    </w:p>
    <w:p w:rsidR="00667805" w:rsidRDefault="00667805" w:rsidP="00667805">
      <w:pPr>
        <w:ind w:left="0" w:firstLine="0"/>
      </w:pPr>
      <w:r w:rsidRPr="0043364E">
        <w:lastRenderedPageBreak/>
        <w:t xml:space="preserve">This work is licensed under the Creative Commons Attribution 4.0 International License. To view a copy of this license, visit </w:t>
      </w:r>
      <w:hyperlink r:id="rId9" w:history="1">
        <w:r w:rsidRPr="00E72445">
          <w:rPr>
            <w:rStyle w:val="Hyperlink"/>
          </w:rPr>
          <w:t>http://creativecommons.org/licenses/by/4.0/</w:t>
        </w:r>
      </w:hyperlink>
      <w:r w:rsidRPr="0043364E">
        <w:t>.</w:t>
      </w:r>
    </w:p>
    <w:p w:rsidR="00667805" w:rsidRPr="004C0CCF" w:rsidRDefault="00667805">
      <w:pPr>
        <w:ind w:left="0" w:firstLine="0"/>
      </w:pPr>
    </w:p>
    <w:sectPr w:rsidR="00667805" w:rsidRPr="004C0CCF" w:rsidSect="00664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37"/>
    <w:multiLevelType w:val="hybridMultilevel"/>
    <w:tmpl w:val="142AF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52EB2"/>
    <w:multiLevelType w:val="hybridMultilevel"/>
    <w:tmpl w:val="3BE2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CF"/>
    <w:rsid w:val="0008252E"/>
    <w:rsid w:val="001540DA"/>
    <w:rsid w:val="001E4E1B"/>
    <w:rsid w:val="0048182F"/>
    <w:rsid w:val="004C0CCF"/>
    <w:rsid w:val="00664D80"/>
    <w:rsid w:val="00667805"/>
    <w:rsid w:val="007001AD"/>
    <w:rsid w:val="00710C85"/>
    <w:rsid w:val="0075373E"/>
    <w:rsid w:val="00863834"/>
    <w:rsid w:val="0095608D"/>
    <w:rsid w:val="009B48CB"/>
    <w:rsid w:val="00A41FF6"/>
    <w:rsid w:val="00A715B3"/>
    <w:rsid w:val="00C44EC8"/>
    <w:rsid w:val="00C47FCE"/>
    <w:rsid w:val="00C83D8B"/>
    <w:rsid w:val="00C96A81"/>
    <w:rsid w:val="00D744C9"/>
    <w:rsid w:val="00DC3AA8"/>
    <w:rsid w:val="00E0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4"/>
        <w:lang w:val="en-US" w:eastAsia="en-US" w:bidi="ar-SA"/>
      </w:rPr>
    </w:rPrDefault>
    <w:pPrDefault>
      <w:pPr>
        <w:ind w:left="1512"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8CB"/>
    <w:pPr>
      <w:ind w:left="720"/>
      <w:contextualSpacing/>
    </w:pPr>
  </w:style>
  <w:style w:type="character" w:styleId="Hyperlink">
    <w:name w:val="Hyperlink"/>
    <w:basedOn w:val="DefaultParagraphFont"/>
    <w:uiPriority w:val="99"/>
    <w:rsid w:val="00667805"/>
    <w:rPr>
      <w:rFonts w:cs="Times New Roman"/>
      <w:color w:val="0000FF"/>
      <w:u w:val="single"/>
    </w:rPr>
  </w:style>
  <w:style w:type="table" w:customStyle="1" w:styleId="TableGrid1">
    <w:name w:val="Table Grid1"/>
    <w:basedOn w:val="TableNormal"/>
    <w:next w:val="TableGrid"/>
    <w:uiPriority w:val="59"/>
    <w:rsid w:val="00667805"/>
    <w:pPr>
      <w:ind w:left="0" w:firstLine="0"/>
    </w:pPr>
    <w:rPr>
      <w:rFonts w:asciiTheme="minorHAnsi" w:eastAsia="Times New Roman" w:hAnsiTheme="minorHAnsi" w:cs="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66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D8B"/>
    <w:rPr>
      <w:rFonts w:ascii="Tahoma" w:hAnsi="Tahoma" w:cs="Tahoma"/>
      <w:sz w:val="16"/>
      <w:szCs w:val="16"/>
    </w:rPr>
  </w:style>
  <w:style w:type="character" w:customStyle="1" w:styleId="BalloonTextChar">
    <w:name w:val="Balloon Text Char"/>
    <w:basedOn w:val="DefaultParagraphFont"/>
    <w:link w:val="BalloonText"/>
    <w:uiPriority w:val="99"/>
    <w:semiHidden/>
    <w:rsid w:val="00C83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pPr>
        <w:ind w:left="1512"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8CB"/>
    <w:pPr>
      <w:ind w:left="720"/>
      <w:contextualSpacing/>
    </w:pPr>
  </w:style>
  <w:style w:type="character" w:styleId="Hyperlink">
    <w:name w:val="Hyperlink"/>
    <w:basedOn w:val="DefaultParagraphFont"/>
    <w:uiPriority w:val="99"/>
    <w:rsid w:val="00667805"/>
    <w:rPr>
      <w:rFonts w:cs="Times New Roman"/>
      <w:color w:val="0000FF"/>
      <w:u w:val="single"/>
    </w:rPr>
  </w:style>
  <w:style w:type="table" w:customStyle="1" w:styleId="TableGrid1">
    <w:name w:val="Table Grid1"/>
    <w:basedOn w:val="TableNormal"/>
    <w:next w:val="TableGrid"/>
    <w:uiPriority w:val="59"/>
    <w:rsid w:val="00667805"/>
    <w:pPr>
      <w:ind w:left="0" w:firstLine="0"/>
    </w:pPr>
    <w:rPr>
      <w:rFonts w:asciiTheme="minorHAnsi" w:eastAsia="Times New Roman" w:hAnsiTheme="minorHAnsi" w:cs="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66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D8B"/>
    <w:rPr>
      <w:rFonts w:ascii="Tahoma" w:hAnsi="Tahoma" w:cs="Tahoma"/>
      <w:sz w:val="16"/>
      <w:szCs w:val="16"/>
    </w:rPr>
  </w:style>
  <w:style w:type="character" w:customStyle="1" w:styleId="BalloonTextChar">
    <w:name w:val="Balloon Text Char"/>
    <w:basedOn w:val="DefaultParagraphFont"/>
    <w:link w:val="BalloonText"/>
    <w:uiPriority w:val="99"/>
    <w:semiHidden/>
    <w:rsid w:val="00C83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1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Tina D.Langston</cp:lastModifiedBy>
  <cp:revision>7</cp:revision>
  <dcterms:created xsi:type="dcterms:W3CDTF">2014-11-12T17:38:00Z</dcterms:created>
  <dcterms:modified xsi:type="dcterms:W3CDTF">2015-05-26T17:04:00Z</dcterms:modified>
</cp:coreProperties>
</file>