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1D86B" w14:textId="77777777" w:rsidR="001356C3" w:rsidRDefault="00A6670F" w:rsidP="00A6670F">
      <w:pPr>
        <w:pStyle w:val="Title"/>
      </w:pPr>
      <w:r>
        <w:t>MoWINs Records Retention Guidance</w:t>
      </w:r>
    </w:p>
    <w:p w14:paraId="0C786368" w14:textId="77777777" w:rsidR="00A6670F" w:rsidRPr="00D133EC" w:rsidRDefault="00A6670F" w:rsidP="00040259">
      <w:pPr>
        <w:spacing w:line="276" w:lineRule="auto"/>
        <w:rPr>
          <w:sz w:val="24"/>
          <w:szCs w:val="24"/>
        </w:rPr>
      </w:pPr>
      <w:r w:rsidRPr="00D133EC">
        <w:rPr>
          <w:sz w:val="24"/>
          <w:szCs w:val="24"/>
        </w:rPr>
        <w:t xml:space="preserve">Grantees and co-awardees must follow Federal guidelines on record retention, which require grantees to maintain all records pertaining to grant activities for a period of not less than </w:t>
      </w:r>
      <w:r w:rsidRPr="00D133EC">
        <w:rPr>
          <w:b/>
          <w:sz w:val="24"/>
          <w:szCs w:val="24"/>
          <w:u w:val="single"/>
        </w:rPr>
        <w:t>three years</w:t>
      </w:r>
      <w:r w:rsidRPr="00D133EC">
        <w:rPr>
          <w:sz w:val="24"/>
          <w:szCs w:val="24"/>
        </w:rPr>
        <w:t xml:space="preserve"> from the time of </w:t>
      </w:r>
      <w:r w:rsidRPr="00D133EC">
        <w:rPr>
          <w:b/>
          <w:i/>
          <w:sz w:val="24"/>
          <w:szCs w:val="24"/>
        </w:rPr>
        <w:t>final grant close-out</w:t>
      </w:r>
      <w:r w:rsidRPr="00D133EC">
        <w:rPr>
          <w:sz w:val="24"/>
          <w:szCs w:val="24"/>
        </w:rPr>
        <w:t xml:space="preserve">.  These records include: </w:t>
      </w:r>
    </w:p>
    <w:p w14:paraId="018A3ADE" w14:textId="77777777" w:rsidR="00A6670F" w:rsidRPr="00D133EC" w:rsidRDefault="00A6670F" w:rsidP="00040259">
      <w:pPr>
        <w:spacing w:line="276" w:lineRule="auto"/>
        <w:rPr>
          <w:sz w:val="24"/>
          <w:szCs w:val="24"/>
        </w:rPr>
      </w:pPr>
    </w:p>
    <w:p w14:paraId="2F00FEF6" w14:textId="77777777" w:rsidR="00A6670F" w:rsidRPr="00D133EC" w:rsidRDefault="00FF6B15" w:rsidP="00040259">
      <w:pPr>
        <w:pStyle w:val="ListParagraph"/>
        <w:numPr>
          <w:ilvl w:val="0"/>
          <w:numId w:val="14"/>
        </w:numPr>
        <w:spacing w:line="276" w:lineRule="auto"/>
        <w:rPr>
          <w:sz w:val="24"/>
          <w:szCs w:val="24"/>
        </w:rPr>
      </w:pPr>
      <w:r w:rsidRPr="00D133EC">
        <w:rPr>
          <w:sz w:val="24"/>
          <w:szCs w:val="24"/>
        </w:rPr>
        <w:t xml:space="preserve">  </w:t>
      </w:r>
      <w:r w:rsidR="00A6670F" w:rsidRPr="00D133EC">
        <w:rPr>
          <w:sz w:val="24"/>
          <w:szCs w:val="24"/>
        </w:rPr>
        <w:t>Participant files</w:t>
      </w:r>
    </w:p>
    <w:p w14:paraId="5441F291" w14:textId="77777777" w:rsidR="00FF6B15" w:rsidRPr="00D133EC" w:rsidRDefault="00FF6B15" w:rsidP="00040259">
      <w:pPr>
        <w:pStyle w:val="ListParagraph"/>
        <w:numPr>
          <w:ilvl w:val="0"/>
          <w:numId w:val="14"/>
        </w:numPr>
        <w:spacing w:line="276" w:lineRule="auto"/>
        <w:rPr>
          <w:rFonts w:asciiTheme="minorHAnsi" w:hAnsiTheme="minorHAnsi" w:cs="Arial"/>
          <w:sz w:val="24"/>
          <w:szCs w:val="24"/>
        </w:rPr>
      </w:pPr>
      <w:r w:rsidRPr="00D133EC">
        <w:rPr>
          <w:rFonts w:asciiTheme="minorHAnsi" w:hAnsiTheme="minorHAnsi" w:cs="Arial"/>
          <w:sz w:val="24"/>
          <w:szCs w:val="24"/>
        </w:rPr>
        <w:t xml:space="preserve">  </w:t>
      </w:r>
      <w:r w:rsidR="003266AE" w:rsidRPr="00D133EC">
        <w:rPr>
          <w:rFonts w:asciiTheme="minorHAnsi" w:hAnsiTheme="minorHAnsi" w:cs="Arial"/>
          <w:sz w:val="24"/>
          <w:szCs w:val="24"/>
        </w:rPr>
        <w:t xml:space="preserve">Financial Documentation, including all supporting and related </w:t>
      </w:r>
      <w:r w:rsidRPr="00D133EC">
        <w:rPr>
          <w:rFonts w:asciiTheme="minorHAnsi" w:hAnsiTheme="minorHAnsi" w:cs="Arial"/>
          <w:sz w:val="24"/>
          <w:szCs w:val="24"/>
        </w:rPr>
        <w:t>documentation</w:t>
      </w:r>
    </w:p>
    <w:p w14:paraId="010389CC" w14:textId="77777777" w:rsidR="00A6670F" w:rsidRPr="00D133EC" w:rsidRDefault="00FF6B15" w:rsidP="00040259">
      <w:pPr>
        <w:pStyle w:val="ListParagraph"/>
        <w:numPr>
          <w:ilvl w:val="0"/>
          <w:numId w:val="14"/>
        </w:numPr>
        <w:spacing w:line="276" w:lineRule="auto"/>
        <w:rPr>
          <w:sz w:val="24"/>
          <w:szCs w:val="24"/>
        </w:rPr>
      </w:pPr>
      <w:r w:rsidRPr="00D133EC">
        <w:rPr>
          <w:sz w:val="24"/>
          <w:szCs w:val="24"/>
        </w:rPr>
        <w:t xml:space="preserve">  </w:t>
      </w:r>
      <w:r w:rsidR="00542F87" w:rsidRPr="00D133EC">
        <w:rPr>
          <w:sz w:val="24"/>
          <w:szCs w:val="24"/>
        </w:rPr>
        <w:t>Quarterly Narrative Progress Reports</w:t>
      </w:r>
    </w:p>
    <w:p w14:paraId="7FC9FC1F" w14:textId="77777777" w:rsidR="00542F87" w:rsidRPr="00D133EC" w:rsidRDefault="00FF6B15" w:rsidP="00040259">
      <w:pPr>
        <w:pStyle w:val="ListParagraph"/>
        <w:numPr>
          <w:ilvl w:val="0"/>
          <w:numId w:val="14"/>
        </w:numPr>
        <w:spacing w:line="276" w:lineRule="auto"/>
        <w:rPr>
          <w:sz w:val="24"/>
          <w:szCs w:val="24"/>
        </w:rPr>
      </w:pPr>
      <w:r w:rsidRPr="00D133EC">
        <w:rPr>
          <w:sz w:val="24"/>
          <w:szCs w:val="24"/>
        </w:rPr>
        <w:t xml:space="preserve">  </w:t>
      </w:r>
      <w:r w:rsidR="00542F87" w:rsidRPr="00D133EC">
        <w:rPr>
          <w:sz w:val="24"/>
          <w:szCs w:val="24"/>
        </w:rPr>
        <w:t>Quarterly Financial Reports</w:t>
      </w:r>
    </w:p>
    <w:p w14:paraId="02DA2721" w14:textId="77777777" w:rsidR="00542F87" w:rsidRPr="00D133EC" w:rsidRDefault="00FF6B15" w:rsidP="00040259">
      <w:pPr>
        <w:pStyle w:val="ListParagraph"/>
        <w:numPr>
          <w:ilvl w:val="0"/>
          <w:numId w:val="14"/>
        </w:numPr>
        <w:spacing w:line="276" w:lineRule="auto"/>
        <w:rPr>
          <w:sz w:val="24"/>
          <w:szCs w:val="24"/>
        </w:rPr>
      </w:pPr>
      <w:r w:rsidRPr="00D133EC">
        <w:rPr>
          <w:sz w:val="24"/>
          <w:szCs w:val="24"/>
        </w:rPr>
        <w:t xml:space="preserve">  </w:t>
      </w:r>
      <w:r w:rsidR="00542F87" w:rsidRPr="00D133EC">
        <w:rPr>
          <w:sz w:val="24"/>
          <w:szCs w:val="24"/>
        </w:rPr>
        <w:t>Annual Performance Reports</w:t>
      </w:r>
    </w:p>
    <w:p w14:paraId="061BD15E" w14:textId="77777777" w:rsidR="00542F87" w:rsidRPr="00D133EC" w:rsidRDefault="00FF6B15" w:rsidP="00040259">
      <w:pPr>
        <w:pStyle w:val="ListParagraph"/>
        <w:numPr>
          <w:ilvl w:val="0"/>
          <w:numId w:val="14"/>
        </w:numPr>
        <w:spacing w:line="276" w:lineRule="auto"/>
        <w:rPr>
          <w:sz w:val="24"/>
          <w:szCs w:val="24"/>
        </w:rPr>
      </w:pPr>
      <w:r w:rsidRPr="00D133EC">
        <w:rPr>
          <w:sz w:val="24"/>
          <w:szCs w:val="24"/>
        </w:rPr>
        <w:t xml:space="preserve">  </w:t>
      </w:r>
      <w:r w:rsidR="00C35F23" w:rsidRPr="00D133EC">
        <w:rPr>
          <w:sz w:val="24"/>
          <w:szCs w:val="24"/>
        </w:rPr>
        <w:t>Evaluation Reports</w:t>
      </w:r>
    </w:p>
    <w:p w14:paraId="743BB55A" w14:textId="77777777" w:rsidR="00C35F23" w:rsidRPr="00D133EC" w:rsidRDefault="00FF6B15" w:rsidP="00040259">
      <w:pPr>
        <w:pStyle w:val="ListParagraph"/>
        <w:numPr>
          <w:ilvl w:val="0"/>
          <w:numId w:val="14"/>
        </w:numPr>
        <w:spacing w:line="276" w:lineRule="auto"/>
        <w:rPr>
          <w:sz w:val="24"/>
          <w:szCs w:val="24"/>
        </w:rPr>
      </w:pPr>
      <w:r w:rsidRPr="00D133EC">
        <w:rPr>
          <w:sz w:val="24"/>
          <w:szCs w:val="24"/>
        </w:rPr>
        <w:t xml:space="preserve">  </w:t>
      </w:r>
      <w:r w:rsidR="00C35F23" w:rsidRPr="00D133EC">
        <w:rPr>
          <w:sz w:val="24"/>
          <w:szCs w:val="24"/>
        </w:rPr>
        <w:t>Procurement documentation</w:t>
      </w:r>
    </w:p>
    <w:p w14:paraId="31A922FD" w14:textId="77777777" w:rsidR="00C35F23" w:rsidRPr="00D133EC" w:rsidRDefault="00FF6B15" w:rsidP="00040259">
      <w:pPr>
        <w:pStyle w:val="ListParagraph"/>
        <w:numPr>
          <w:ilvl w:val="0"/>
          <w:numId w:val="14"/>
        </w:numPr>
        <w:spacing w:line="276" w:lineRule="auto"/>
        <w:rPr>
          <w:sz w:val="24"/>
          <w:szCs w:val="24"/>
        </w:rPr>
      </w:pPr>
      <w:r w:rsidRPr="00D133EC">
        <w:rPr>
          <w:sz w:val="24"/>
          <w:szCs w:val="24"/>
        </w:rPr>
        <w:t xml:space="preserve">  </w:t>
      </w:r>
      <w:r w:rsidR="00C35F23" w:rsidRPr="00D133EC">
        <w:rPr>
          <w:sz w:val="24"/>
          <w:szCs w:val="24"/>
        </w:rPr>
        <w:t>Original contract and award information</w:t>
      </w:r>
    </w:p>
    <w:p w14:paraId="40B024CB" w14:textId="77777777" w:rsidR="00C35F23" w:rsidRPr="00D133EC" w:rsidRDefault="00FF6B15" w:rsidP="00040259">
      <w:pPr>
        <w:pStyle w:val="ListParagraph"/>
        <w:numPr>
          <w:ilvl w:val="0"/>
          <w:numId w:val="14"/>
        </w:numPr>
        <w:spacing w:line="276" w:lineRule="auto"/>
        <w:rPr>
          <w:sz w:val="24"/>
          <w:szCs w:val="24"/>
        </w:rPr>
      </w:pPr>
      <w:r w:rsidRPr="00D133EC">
        <w:rPr>
          <w:sz w:val="24"/>
          <w:szCs w:val="24"/>
        </w:rPr>
        <w:t xml:space="preserve">  </w:t>
      </w:r>
      <w:r w:rsidR="00C35F23" w:rsidRPr="00D133EC">
        <w:rPr>
          <w:sz w:val="24"/>
          <w:szCs w:val="24"/>
        </w:rPr>
        <w:t>Modified Budgets and/or Statement of Work</w:t>
      </w:r>
    </w:p>
    <w:p w14:paraId="40805444" w14:textId="77777777" w:rsidR="00FF6B15" w:rsidRPr="00D133EC" w:rsidRDefault="00FF6B15" w:rsidP="00040259">
      <w:pPr>
        <w:pStyle w:val="ListParagraph"/>
        <w:numPr>
          <w:ilvl w:val="0"/>
          <w:numId w:val="14"/>
        </w:numPr>
        <w:spacing w:line="276" w:lineRule="auto"/>
        <w:rPr>
          <w:sz w:val="24"/>
          <w:szCs w:val="24"/>
        </w:rPr>
      </w:pPr>
      <w:r w:rsidRPr="00D133EC">
        <w:rPr>
          <w:sz w:val="24"/>
          <w:szCs w:val="24"/>
        </w:rPr>
        <w:t xml:space="preserve">  </w:t>
      </w:r>
      <w:r w:rsidR="00B11E85" w:rsidRPr="00D133EC">
        <w:rPr>
          <w:sz w:val="24"/>
          <w:szCs w:val="24"/>
        </w:rPr>
        <w:t xml:space="preserve">Copies of education/outreach materials appropriately labeled with the </w:t>
      </w:r>
      <w:r w:rsidRPr="00D133EC">
        <w:rPr>
          <w:sz w:val="24"/>
          <w:szCs w:val="24"/>
        </w:rPr>
        <w:t xml:space="preserve">DOL Disclaimer.  </w:t>
      </w:r>
    </w:p>
    <w:p w14:paraId="162D8A59" w14:textId="77777777" w:rsidR="00D133EC" w:rsidRPr="00D133EC" w:rsidRDefault="00D133EC" w:rsidP="00040259">
      <w:pPr>
        <w:pStyle w:val="ListParagraph"/>
        <w:numPr>
          <w:ilvl w:val="0"/>
          <w:numId w:val="14"/>
        </w:numPr>
        <w:spacing w:line="276" w:lineRule="auto"/>
        <w:rPr>
          <w:sz w:val="24"/>
          <w:szCs w:val="24"/>
        </w:rPr>
      </w:pPr>
      <w:r w:rsidRPr="00D133EC">
        <w:rPr>
          <w:sz w:val="24"/>
          <w:szCs w:val="24"/>
        </w:rPr>
        <w:t xml:space="preserve">  Monitoring Reports</w:t>
      </w:r>
    </w:p>
    <w:p w14:paraId="6C214368" w14:textId="77777777" w:rsidR="00D133EC" w:rsidRPr="00D133EC" w:rsidRDefault="00D133EC" w:rsidP="00040259">
      <w:pPr>
        <w:pStyle w:val="ListParagraph"/>
        <w:numPr>
          <w:ilvl w:val="0"/>
          <w:numId w:val="14"/>
        </w:numPr>
        <w:spacing w:line="276" w:lineRule="auto"/>
        <w:rPr>
          <w:sz w:val="24"/>
          <w:szCs w:val="24"/>
        </w:rPr>
      </w:pPr>
      <w:r w:rsidRPr="00D133EC">
        <w:rPr>
          <w:sz w:val="24"/>
          <w:szCs w:val="24"/>
        </w:rPr>
        <w:t xml:space="preserve">  Cohort and Comparison Cohort Analysis</w:t>
      </w:r>
    </w:p>
    <w:p w14:paraId="5323ED22" w14:textId="77777777" w:rsidR="007671AA" w:rsidRPr="007671AA" w:rsidRDefault="007671AA" w:rsidP="00040259">
      <w:pPr>
        <w:pStyle w:val="ListParagraph"/>
        <w:numPr>
          <w:ilvl w:val="0"/>
          <w:numId w:val="14"/>
        </w:numPr>
        <w:spacing w:line="276" w:lineRule="auto"/>
        <w:rPr>
          <w:sz w:val="24"/>
          <w:szCs w:val="24"/>
        </w:rPr>
      </w:pPr>
      <w:r>
        <w:rPr>
          <w:sz w:val="24"/>
          <w:szCs w:val="24"/>
        </w:rPr>
        <w:t xml:space="preserve">  </w:t>
      </w:r>
      <w:r w:rsidR="00D133EC" w:rsidRPr="007671AA">
        <w:rPr>
          <w:sz w:val="24"/>
          <w:szCs w:val="24"/>
        </w:rPr>
        <w:t>All curriculums uploaded using Creative Commons Licensing (Open Edu</w:t>
      </w:r>
      <w:r w:rsidR="003419C8" w:rsidRPr="007671AA">
        <w:rPr>
          <w:sz w:val="24"/>
          <w:szCs w:val="24"/>
        </w:rPr>
        <w:t>cation</w:t>
      </w:r>
    </w:p>
    <w:p w14:paraId="244D1109" w14:textId="77777777" w:rsidR="007671AA" w:rsidRPr="00D133EC" w:rsidRDefault="007671AA" w:rsidP="00040259">
      <w:pPr>
        <w:spacing w:line="276" w:lineRule="auto"/>
        <w:ind w:left="360"/>
        <w:rPr>
          <w:color w:val="1F497D"/>
          <w:sz w:val="24"/>
          <w:szCs w:val="24"/>
        </w:rPr>
      </w:pPr>
      <w:r>
        <w:rPr>
          <w:sz w:val="24"/>
          <w:szCs w:val="24"/>
        </w:rPr>
        <w:t xml:space="preserve">  </w:t>
      </w:r>
      <w:r w:rsidR="003419C8" w:rsidRPr="007671AA">
        <w:rPr>
          <w:sz w:val="24"/>
          <w:szCs w:val="24"/>
        </w:rPr>
        <w:t xml:space="preserve"> </w:t>
      </w:r>
      <w:r>
        <w:rPr>
          <w:sz w:val="24"/>
          <w:szCs w:val="24"/>
        </w:rPr>
        <w:t xml:space="preserve">     </w:t>
      </w:r>
      <w:r w:rsidRPr="00D133EC">
        <w:rPr>
          <w:sz w:val="24"/>
          <w:szCs w:val="24"/>
        </w:rPr>
        <w:t>Resources)</w:t>
      </w:r>
    </w:p>
    <w:p w14:paraId="3B935E63" w14:textId="77777777" w:rsidR="00D133EC" w:rsidRPr="007671AA" w:rsidRDefault="007671AA" w:rsidP="00040259">
      <w:pPr>
        <w:pStyle w:val="ListParagraph"/>
        <w:spacing w:line="276" w:lineRule="auto"/>
        <w:rPr>
          <w:color w:val="1F497D"/>
          <w:sz w:val="24"/>
          <w:szCs w:val="24"/>
        </w:rPr>
      </w:pPr>
      <w:r w:rsidRPr="007671AA">
        <w:rPr>
          <w:sz w:val="24"/>
          <w:szCs w:val="24"/>
        </w:rPr>
        <w:t xml:space="preserve">  </w:t>
      </w:r>
    </w:p>
    <w:p w14:paraId="1F98C6D2" w14:textId="77777777" w:rsidR="00B11E85" w:rsidRPr="00D133EC" w:rsidRDefault="00B11E85" w:rsidP="00040259">
      <w:pPr>
        <w:spacing w:line="276" w:lineRule="auto"/>
        <w:rPr>
          <w:sz w:val="24"/>
          <w:szCs w:val="24"/>
        </w:rPr>
      </w:pPr>
      <w:r w:rsidRPr="00D133EC">
        <w:rPr>
          <w:sz w:val="24"/>
          <w:szCs w:val="24"/>
        </w:rPr>
        <w:t xml:space="preserve">Each college will be responsible for maintaining their own files on-site for the required period.  The consortium-wide documents, such as quarterly and annual reports, contract and award information, and approved modifications, will be stored at either the lead institution or </w:t>
      </w:r>
      <w:r w:rsidR="00A73BD4" w:rsidRPr="00D133EC">
        <w:rPr>
          <w:sz w:val="24"/>
          <w:szCs w:val="24"/>
        </w:rPr>
        <w:t xml:space="preserve">MCCA.  </w:t>
      </w:r>
    </w:p>
    <w:p w14:paraId="43102B60" w14:textId="77777777" w:rsidR="00A73BD4" w:rsidRPr="00D133EC" w:rsidRDefault="00A73BD4" w:rsidP="00040259">
      <w:pPr>
        <w:spacing w:line="276" w:lineRule="auto"/>
        <w:rPr>
          <w:sz w:val="24"/>
          <w:szCs w:val="24"/>
        </w:rPr>
      </w:pPr>
    </w:p>
    <w:p w14:paraId="5E5CC77B" w14:textId="77777777" w:rsidR="00A73BD4" w:rsidRPr="00D133EC" w:rsidRDefault="00A73BD4" w:rsidP="00040259">
      <w:pPr>
        <w:spacing w:line="276" w:lineRule="auto"/>
        <w:rPr>
          <w:sz w:val="24"/>
          <w:szCs w:val="24"/>
        </w:rPr>
      </w:pPr>
      <w:r w:rsidRPr="00D133EC">
        <w:rPr>
          <w:sz w:val="24"/>
          <w:szCs w:val="24"/>
        </w:rPr>
        <w:t xml:space="preserve">Upon official close-out, each institution should </w:t>
      </w:r>
      <w:r w:rsidR="00AE0717" w:rsidRPr="00D133EC">
        <w:rPr>
          <w:sz w:val="24"/>
          <w:szCs w:val="24"/>
        </w:rPr>
        <w:t xml:space="preserve">place all of their files and records into boxes clearly labeled with the date upon which those files can be purged.  The boxes should then be stored in an accessible place until that date.  </w:t>
      </w:r>
    </w:p>
    <w:p w14:paraId="03472A7A" w14:textId="77777777" w:rsidR="002D73F2" w:rsidRDefault="002D73F2" w:rsidP="00336B0D"/>
    <w:p w14:paraId="5C3530C2" w14:textId="32522A21" w:rsidR="00336B0D" w:rsidRDefault="00336B0D" w:rsidP="00B11E85">
      <w:r w:rsidRPr="002D73F2">
        <w:t xml:space="preserve">*Please note that each college must coordinate its MoWINs grant record retention with any existing institutional policies and adhere to the MOST RESTRICTIVE of the federal guidelines or </w:t>
      </w:r>
      <w:r w:rsidR="002D73F2" w:rsidRPr="002D73F2">
        <w:t>its</w:t>
      </w:r>
      <w:r w:rsidRPr="002D73F2">
        <w:t xml:space="preserve"> own guidelines.  </w:t>
      </w:r>
    </w:p>
    <w:p w14:paraId="15270690" w14:textId="77777777" w:rsidR="00C85C7C" w:rsidRPr="00AE0717" w:rsidRDefault="00C85C7C" w:rsidP="00B11E85">
      <w:pPr>
        <w:rPr>
          <w:sz w:val="28"/>
        </w:rPr>
      </w:pPr>
      <w:bookmarkStart w:id="0" w:name="_GoBack"/>
      <w:bookmarkEnd w:id="0"/>
    </w:p>
    <w:sectPr w:rsidR="00C85C7C" w:rsidRPr="00AE07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32D" w14:textId="77777777" w:rsidR="001356C3" w:rsidRDefault="001356C3" w:rsidP="001356C3">
      <w:r>
        <w:separator/>
      </w:r>
    </w:p>
  </w:endnote>
  <w:endnote w:type="continuationSeparator" w:id="0">
    <w:p w14:paraId="47C47CB4" w14:textId="77777777" w:rsidR="001356C3" w:rsidRDefault="001356C3" w:rsidP="0013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3CDB" w14:textId="3B7831D9" w:rsidR="00C85C7C" w:rsidRDefault="00C85C7C">
    <w:pPr>
      <w:pStyle w:val="Footer"/>
    </w:pPr>
    <w:r w:rsidRPr="00C85C7C">
      <w:drawing>
        <wp:inline distT="0" distB="0" distL="0" distR="0" wp14:anchorId="02DDFBA8" wp14:editId="4E29418C">
          <wp:extent cx="59436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6348" w14:textId="77777777" w:rsidR="001356C3" w:rsidRDefault="001356C3" w:rsidP="001356C3">
      <w:r>
        <w:separator/>
      </w:r>
    </w:p>
  </w:footnote>
  <w:footnote w:type="continuationSeparator" w:id="0">
    <w:p w14:paraId="0036C5C1" w14:textId="77777777" w:rsidR="001356C3" w:rsidRDefault="001356C3" w:rsidP="0013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8D11" w14:textId="77777777" w:rsidR="001356C3" w:rsidRDefault="00F8551F">
    <w:pPr>
      <w:pStyle w:val="Header"/>
    </w:pPr>
    <w:r>
      <w:tab/>
    </w:r>
    <w:r>
      <w:rPr>
        <w:noProof/>
      </w:rPr>
      <w:drawing>
        <wp:inline distT="0" distB="0" distL="0" distR="0" wp14:anchorId="1975336D" wp14:editId="4042AC2C">
          <wp:extent cx="2994848"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h logos mhwmmw.jpg"/>
                  <pic:cNvPicPr/>
                </pic:nvPicPr>
                <pic:blipFill>
                  <a:blip r:embed="rId1">
                    <a:extLst>
                      <a:ext uri="{28A0092B-C50C-407E-A947-70E740481C1C}">
                        <a14:useLocalDpi xmlns:a14="http://schemas.microsoft.com/office/drawing/2010/main" val="0"/>
                      </a:ext>
                    </a:extLst>
                  </a:blip>
                  <a:stretch>
                    <a:fillRect/>
                  </a:stretch>
                </pic:blipFill>
                <pic:spPr>
                  <a:xfrm>
                    <a:off x="0" y="0"/>
                    <a:ext cx="3009938" cy="1079834"/>
                  </a:xfrm>
                  <a:prstGeom prst="rect">
                    <a:avLst/>
                  </a:prstGeom>
                </pic:spPr>
              </pic:pic>
            </a:graphicData>
          </a:graphic>
        </wp:inline>
      </w:drawing>
    </w:r>
    <w:r w:rsidR="00554A89">
      <w:rPr>
        <w:noProof/>
      </w:rPr>
      <w:drawing>
        <wp:inline distT="0" distB="0" distL="0" distR="0" wp14:anchorId="58D3EA13" wp14:editId="54C7CFCA">
          <wp:extent cx="762000" cy="819510"/>
          <wp:effectExtent l="0" t="0" r="0" b="0"/>
          <wp:docPr id="2" name="Picture 2" descr="S:\MoWINs\Round IV\Logo\MoSTEMWI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WINs\Round IV\Logo\MoSTEMWIN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19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3F7"/>
    <w:multiLevelType w:val="hybridMultilevel"/>
    <w:tmpl w:val="72D6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4078"/>
    <w:multiLevelType w:val="hybridMultilevel"/>
    <w:tmpl w:val="F02C6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37823"/>
    <w:multiLevelType w:val="hybridMultilevel"/>
    <w:tmpl w:val="452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E1F48"/>
    <w:multiLevelType w:val="hybridMultilevel"/>
    <w:tmpl w:val="0CDE1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22F8B"/>
    <w:multiLevelType w:val="hybridMultilevel"/>
    <w:tmpl w:val="8D50DA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82DD0"/>
    <w:multiLevelType w:val="hybridMultilevel"/>
    <w:tmpl w:val="8CA4D768"/>
    <w:lvl w:ilvl="0" w:tplc="04090013">
      <w:start w:val="1"/>
      <w:numFmt w:val="upp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15:restartNumberingAfterBreak="0">
    <w:nsid w:val="31AF40E4"/>
    <w:multiLevelType w:val="hybridMultilevel"/>
    <w:tmpl w:val="79FA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EB2DCC"/>
    <w:multiLevelType w:val="hybridMultilevel"/>
    <w:tmpl w:val="47C81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EC3332"/>
    <w:multiLevelType w:val="hybridMultilevel"/>
    <w:tmpl w:val="676A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E3C07"/>
    <w:multiLevelType w:val="hybridMultilevel"/>
    <w:tmpl w:val="A74ED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F767C1"/>
    <w:multiLevelType w:val="hybridMultilevel"/>
    <w:tmpl w:val="6296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4E0030"/>
    <w:multiLevelType w:val="hybridMultilevel"/>
    <w:tmpl w:val="A2FC2F6E"/>
    <w:lvl w:ilvl="0" w:tplc="C3AC3A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A53183"/>
    <w:multiLevelType w:val="hybridMultilevel"/>
    <w:tmpl w:val="6C4E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9D50F1"/>
    <w:multiLevelType w:val="hybridMultilevel"/>
    <w:tmpl w:val="CC78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585A82"/>
    <w:multiLevelType w:val="hybridMultilevel"/>
    <w:tmpl w:val="C8C6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BA39BE"/>
    <w:multiLevelType w:val="hybridMultilevel"/>
    <w:tmpl w:val="D0F4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12"/>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9"/>
  </w:num>
  <w:num w:numId="11">
    <w:abstractNumId w:val="7"/>
  </w:num>
  <w:num w:numId="12">
    <w:abstractNumId w:val="0"/>
  </w:num>
  <w:num w:numId="13">
    <w:abstractNumId w:val="8"/>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EEF"/>
    <w:rsid w:val="00040259"/>
    <w:rsid w:val="001356C3"/>
    <w:rsid w:val="001C1469"/>
    <w:rsid w:val="002D73F2"/>
    <w:rsid w:val="00323EEF"/>
    <w:rsid w:val="003266AE"/>
    <w:rsid w:val="00336B0D"/>
    <w:rsid w:val="003419C8"/>
    <w:rsid w:val="00354347"/>
    <w:rsid w:val="004834B5"/>
    <w:rsid w:val="004D6024"/>
    <w:rsid w:val="00542F87"/>
    <w:rsid w:val="00554A89"/>
    <w:rsid w:val="006E6519"/>
    <w:rsid w:val="007671AA"/>
    <w:rsid w:val="00845FB9"/>
    <w:rsid w:val="00940420"/>
    <w:rsid w:val="00944422"/>
    <w:rsid w:val="0095092D"/>
    <w:rsid w:val="00A6670F"/>
    <w:rsid w:val="00A73BD4"/>
    <w:rsid w:val="00AE0717"/>
    <w:rsid w:val="00B11E85"/>
    <w:rsid w:val="00C35F23"/>
    <w:rsid w:val="00C804CA"/>
    <w:rsid w:val="00C85C7C"/>
    <w:rsid w:val="00CC4FBC"/>
    <w:rsid w:val="00D133EC"/>
    <w:rsid w:val="00E95221"/>
    <w:rsid w:val="00F8551F"/>
    <w:rsid w:val="00FD5C9E"/>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1F0E95"/>
  <w15:docId w15:val="{A9C71AA7-0C92-4CFD-AD42-DAF35C85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EE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EF"/>
    <w:pPr>
      <w:ind w:left="720"/>
    </w:pPr>
  </w:style>
  <w:style w:type="paragraph" w:styleId="Header">
    <w:name w:val="header"/>
    <w:basedOn w:val="Normal"/>
    <w:link w:val="HeaderChar"/>
    <w:uiPriority w:val="99"/>
    <w:unhideWhenUsed/>
    <w:rsid w:val="001356C3"/>
    <w:pPr>
      <w:tabs>
        <w:tab w:val="center" w:pos="4680"/>
        <w:tab w:val="right" w:pos="9360"/>
      </w:tabs>
    </w:pPr>
  </w:style>
  <w:style w:type="character" w:customStyle="1" w:styleId="HeaderChar">
    <w:name w:val="Header Char"/>
    <w:basedOn w:val="DefaultParagraphFont"/>
    <w:link w:val="Header"/>
    <w:uiPriority w:val="99"/>
    <w:rsid w:val="001356C3"/>
    <w:rPr>
      <w:rFonts w:ascii="Calibri" w:eastAsia="Times New Roman" w:hAnsi="Calibri" w:cs="Times New Roman"/>
    </w:rPr>
  </w:style>
  <w:style w:type="paragraph" w:styleId="Footer">
    <w:name w:val="footer"/>
    <w:basedOn w:val="Normal"/>
    <w:link w:val="FooterChar"/>
    <w:uiPriority w:val="99"/>
    <w:unhideWhenUsed/>
    <w:rsid w:val="001356C3"/>
    <w:pPr>
      <w:tabs>
        <w:tab w:val="center" w:pos="4680"/>
        <w:tab w:val="right" w:pos="9360"/>
      </w:tabs>
    </w:pPr>
  </w:style>
  <w:style w:type="character" w:customStyle="1" w:styleId="FooterChar">
    <w:name w:val="Footer Char"/>
    <w:basedOn w:val="DefaultParagraphFont"/>
    <w:link w:val="Footer"/>
    <w:uiPriority w:val="99"/>
    <w:rsid w:val="001356C3"/>
    <w:rPr>
      <w:rFonts w:ascii="Calibri" w:eastAsia="Times New Roman" w:hAnsi="Calibri" w:cs="Times New Roman"/>
    </w:rPr>
  </w:style>
  <w:style w:type="paragraph" w:styleId="BalloonText">
    <w:name w:val="Balloon Text"/>
    <w:basedOn w:val="Normal"/>
    <w:link w:val="BalloonTextChar"/>
    <w:uiPriority w:val="99"/>
    <w:semiHidden/>
    <w:unhideWhenUsed/>
    <w:rsid w:val="001356C3"/>
    <w:rPr>
      <w:rFonts w:ascii="Tahoma" w:hAnsi="Tahoma" w:cs="Tahoma"/>
      <w:sz w:val="16"/>
      <w:szCs w:val="16"/>
    </w:rPr>
  </w:style>
  <w:style w:type="character" w:customStyle="1" w:styleId="BalloonTextChar">
    <w:name w:val="Balloon Text Char"/>
    <w:basedOn w:val="DefaultParagraphFont"/>
    <w:link w:val="BalloonText"/>
    <w:uiPriority w:val="99"/>
    <w:semiHidden/>
    <w:rsid w:val="001356C3"/>
    <w:rPr>
      <w:rFonts w:ascii="Tahoma" w:eastAsia="Times New Roman" w:hAnsi="Tahoma" w:cs="Tahoma"/>
      <w:sz w:val="16"/>
      <w:szCs w:val="16"/>
    </w:rPr>
  </w:style>
  <w:style w:type="paragraph" w:styleId="Title">
    <w:name w:val="Title"/>
    <w:basedOn w:val="Normal"/>
    <w:next w:val="Normal"/>
    <w:link w:val="TitleChar"/>
    <w:uiPriority w:val="10"/>
    <w:qFormat/>
    <w:rsid w:val="00A66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67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2">
      <w:bodyDiv w:val="1"/>
      <w:marLeft w:val="0"/>
      <w:marRight w:val="0"/>
      <w:marTop w:val="0"/>
      <w:marBottom w:val="0"/>
      <w:divBdr>
        <w:top w:val="none" w:sz="0" w:space="0" w:color="auto"/>
        <w:left w:val="none" w:sz="0" w:space="0" w:color="auto"/>
        <w:bottom w:val="none" w:sz="0" w:space="0" w:color="auto"/>
        <w:right w:val="none" w:sz="0" w:space="0" w:color="auto"/>
      </w:divBdr>
    </w:div>
    <w:div w:id="164781392">
      <w:bodyDiv w:val="1"/>
      <w:marLeft w:val="0"/>
      <w:marRight w:val="0"/>
      <w:marTop w:val="0"/>
      <w:marBottom w:val="0"/>
      <w:divBdr>
        <w:top w:val="none" w:sz="0" w:space="0" w:color="auto"/>
        <w:left w:val="none" w:sz="0" w:space="0" w:color="auto"/>
        <w:bottom w:val="none" w:sz="0" w:space="0" w:color="auto"/>
        <w:right w:val="none" w:sz="0" w:space="0" w:color="auto"/>
      </w:divBdr>
    </w:div>
    <w:div w:id="760875170">
      <w:bodyDiv w:val="1"/>
      <w:marLeft w:val="0"/>
      <w:marRight w:val="0"/>
      <w:marTop w:val="0"/>
      <w:marBottom w:val="0"/>
      <w:divBdr>
        <w:top w:val="none" w:sz="0" w:space="0" w:color="auto"/>
        <w:left w:val="none" w:sz="0" w:space="0" w:color="auto"/>
        <w:bottom w:val="none" w:sz="0" w:space="0" w:color="auto"/>
        <w:right w:val="none" w:sz="0" w:space="0" w:color="auto"/>
      </w:divBdr>
    </w:div>
    <w:div w:id="915214205">
      <w:bodyDiv w:val="1"/>
      <w:marLeft w:val="0"/>
      <w:marRight w:val="0"/>
      <w:marTop w:val="0"/>
      <w:marBottom w:val="0"/>
      <w:divBdr>
        <w:top w:val="none" w:sz="0" w:space="0" w:color="auto"/>
        <w:left w:val="none" w:sz="0" w:space="0" w:color="auto"/>
        <w:bottom w:val="none" w:sz="0" w:space="0" w:color="auto"/>
        <w:right w:val="none" w:sz="0" w:space="0" w:color="auto"/>
      </w:divBdr>
    </w:div>
    <w:div w:id="1044670606">
      <w:bodyDiv w:val="1"/>
      <w:marLeft w:val="0"/>
      <w:marRight w:val="0"/>
      <w:marTop w:val="0"/>
      <w:marBottom w:val="0"/>
      <w:divBdr>
        <w:top w:val="none" w:sz="0" w:space="0" w:color="auto"/>
        <w:left w:val="none" w:sz="0" w:space="0" w:color="auto"/>
        <w:bottom w:val="none" w:sz="0" w:space="0" w:color="auto"/>
        <w:right w:val="none" w:sz="0" w:space="0" w:color="auto"/>
      </w:divBdr>
    </w:div>
    <w:div w:id="10715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BUSICK, DAWN R.</dc:creator>
  <cp:lastModifiedBy>Dawn Drinkard</cp:lastModifiedBy>
  <cp:revision>3</cp:revision>
  <dcterms:created xsi:type="dcterms:W3CDTF">2015-02-10T21:28:00Z</dcterms:created>
  <dcterms:modified xsi:type="dcterms:W3CDTF">2018-10-22T20:59:00Z</dcterms:modified>
</cp:coreProperties>
</file>