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F9B6" w14:textId="77777777" w:rsidR="00CB4F11" w:rsidRPr="00CB4F11" w:rsidRDefault="00CB4F11" w:rsidP="00CB4F11">
      <w:pPr>
        <w:spacing w:after="0" w:line="240" w:lineRule="auto"/>
        <w:ind w:left="-720"/>
        <w:rPr>
          <w:rFonts w:ascii="Palatino Linotype" w:eastAsia="Calibri" w:hAnsi="Palatino Linotype" w:cs="Times New Roman"/>
          <w:b/>
          <w:i/>
          <w:sz w:val="60"/>
          <w:szCs w:val="60"/>
        </w:rPr>
      </w:pPr>
      <w:r w:rsidRPr="00CB4F11">
        <w:rPr>
          <w:rFonts w:ascii="Palatino Linotype" w:eastAsia="Calibri" w:hAnsi="Palatino Linotype" w:cs="Times New Roman"/>
          <w:b/>
          <w:i/>
          <w:sz w:val="60"/>
          <w:szCs w:val="60"/>
        </w:rPr>
        <w:t>New Jersey Health Professions Pathways to Regional Excellence Project TAACCCT Evaluation</w:t>
      </w:r>
    </w:p>
    <w:p w14:paraId="710E53E0" w14:textId="5C94CDAC" w:rsidR="00A21D7C" w:rsidRPr="00CB4F11" w:rsidRDefault="00CB4F11" w:rsidP="00A21D7C">
      <w:pPr>
        <w:suppressAutoHyphens/>
        <w:spacing w:before="31" w:after="0" w:line="240" w:lineRule="auto"/>
        <w:ind w:left="-720" w:right="-20"/>
        <w:rPr>
          <w:rFonts w:ascii="Palatino Linotype" w:eastAsia="Calibri" w:hAnsi="Palatino Linotype" w:cs="Calibri"/>
          <w:b/>
          <w:i/>
          <w:spacing w:val="-4"/>
          <w:w w:val="93"/>
          <w:kern w:val="1"/>
          <w:sz w:val="46"/>
          <w:szCs w:val="46"/>
          <w:lang w:eastAsia="ar-SA"/>
        </w:rPr>
      </w:pPr>
      <w:bookmarkStart w:id="0" w:name="_GoBack"/>
      <w:r>
        <w:rPr>
          <w:rFonts w:ascii="Palatino Linotype" w:eastAsia="Calibri" w:hAnsi="Palatino Linotype" w:cs="Calibri"/>
          <w:b/>
          <w:i/>
          <w:spacing w:val="-4"/>
          <w:w w:val="93"/>
          <w:kern w:val="1"/>
          <w:sz w:val="46"/>
          <w:szCs w:val="46"/>
          <w:lang w:eastAsia="ar-SA"/>
        </w:rPr>
        <w:t>Final Report</w:t>
      </w:r>
      <w:r w:rsidRPr="00CB4F11">
        <w:rPr>
          <w:rFonts w:ascii="Palatino Linotype" w:eastAsia="Calibri" w:hAnsi="Palatino Linotype" w:cs="Calibri"/>
          <w:b/>
          <w:i/>
          <w:spacing w:val="-4"/>
          <w:w w:val="93"/>
          <w:kern w:val="1"/>
          <w:sz w:val="46"/>
          <w:szCs w:val="46"/>
          <w:lang w:eastAsia="ar-SA"/>
        </w:rPr>
        <w:t>: Executive Summary</w:t>
      </w:r>
    </w:p>
    <w:bookmarkEnd w:id="0"/>
    <w:p w14:paraId="4FFF2195" w14:textId="77777777" w:rsidR="00A21D7C" w:rsidRPr="008E4A79" w:rsidRDefault="00A21D7C" w:rsidP="00A21D7C">
      <w:pPr>
        <w:pStyle w:val="NoSpacing"/>
        <w:rPr>
          <w:rFonts w:ascii="Palatino Linotype" w:hAnsi="Palatino Linotype"/>
        </w:rPr>
      </w:pPr>
      <w:r w:rsidRPr="008E4A79">
        <w:rPr>
          <w:rFonts w:ascii="Palatino Linotype" w:hAnsi="Palatino Linotype"/>
        </w:rPr>
        <w:t xml:space="preserve">Michelle Van Noy, Renée Edwards, </w:t>
      </w:r>
    </w:p>
    <w:p w14:paraId="09B836F6" w14:textId="305C7BFA" w:rsidR="00A21D7C" w:rsidRPr="008E4A79" w:rsidRDefault="00A21D7C" w:rsidP="00A21D7C">
      <w:pPr>
        <w:pStyle w:val="NoSpacing"/>
        <w:rPr>
          <w:rFonts w:ascii="Palatino Linotype" w:hAnsi="Palatino Linotype"/>
        </w:rPr>
      </w:pPr>
      <w:r w:rsidRPr="008E4A79">
        <w:rPr>
          <w:rFonts w:ascii="Palatino Linotype" w:hAnsi="Palatino Linotype"/>
        </w:rPr>
        <w:t xml:space="preserve">Sara B. Haviland, Heather McKay, </w:t>
      </w:r>
    </w:p>
    <w:p w14:paraId="7B212912" w14:textId="471FC2EE" w:rsidR="00A21D7C" w:rsidRPr="008E4A79" w:rsidRDefault="00A21D7C" w:rsidP="00A21D7C">
      <w:pPr>
        <w:pStyle w:val="NoSpacing"/>
        <w:rPr>
          <w:rFonts w:ascii="Palatino Linotype" w:hAnsi="Palatino Linotype"/>
        </w:rPr>
      </w:pPr>
      <w:r w:rsidRPr="008E4A79">
        <w:rPr>
          <w:rFonts w:ascii="Palatino Linotype" w:hAnsi="Palatino Linotype"/>
        </w:rPr>
        <w:t xml:space="preserve">Daniel Douglas, William Mabe, </w:t>
      </w:r>
    </w:p>
    <w:p w14:paraId="42319019" w14:textId="3CFDEB80" w:rsidR="00A21D7C" w:rsidRPr="008E4A79" w:rsidRDefault="00A21D7C" w:rsidP="00A21D7C">
      <w:pPr>
        <w:pStyle w:val="NoSpacing"/>
        <w:rPr>
          <w:rFonts w:ascii="Palatino Linotype" w:hAnsi="Palatino Linotype"/>
        </w:rPr>
      </w:pPr>
      <w:r w:rsidRPr="008E4A79">
        <w:rPr>
          <w:rFonts w:ascii="Palatino Linotype" w:hAnsi="Palatino Linotype"/>
        </w:rPr>
        <w:t xml:space="preserve">Victoria Coty, Sofia Javed, </w:t>
      </w:r>
    </w:p>
    <w:p w14:paraId="6882A613" w14:textId="41A042F8" w:rsidR="00A21D7C" w:rsidRPr="00A21D7C" w:rsidRDefault="00A21D7C" w:rsidP="00A21D7C">
      <w:pPr>
        <w:pStyle w:val="NoSpacing"/>
        <w:rPr>
          <w:rFonts w:ascii="Palatino Linotype" w:hAnsi="Palatino Linotype"/>
        </w:rPr>
      </w:pPr>
      <w:r w:rsidRPr="008E4A79">
        <w:rPr>
          <w:rFonts w:ascii="Palatino Linotype" w:hAnsi="Palatino Linotype"/>
        </w:rPr>
        <w:t>Nikolas Pardalis, and Laci Hubbard-Mattix</w:t>
      </w:r>
    </w:p>
    <w:p w14:paraId="19A6878B" w14:textId="3C35F8C3" w:rsidR="00CB4F11" w:rsidRPr="00A21D7C" w:rsidRDefault="00A21D7C" w:rsidP="00A21D7C">
      <w:pPr>
        <w:spacing w:after="0" w:line="240" w:lineRule="auto"/>
        <w:rPr>
          <w:rFonts w:ascii="Palatino Linotype" w:hAnsi="Palatino Linotype"/>
          <w:sz w:val="24"/>
          <w:szCs w:val="24"/>
        </w:rPr>
      </w:pPr>
      <w:r w:rsidRPr="00CB4F11">
        <w:rPr>
          <w:rFonts w:ascii="Palatino Linotype" w:hAnsi="Palatino Linotype"/>
          <w:sz w:val="24"/>
          <w:szCs w:val="24"/>
        </w:rPr>
        <w:t>September 2018</w:t>
      </w:r>
    </w:p>
    <w:p w14:paraId="24AA960C" w14:textId="657A5CD3" w:rsidR="00CB4F11" w:rsidRPr="00CB4F11" w:rsidRDefault="00CB4F11" w:rsidP="00CB4F11">
      <w:pPr>
        <w:suppressAutoHyphens/>
        <w:spacing w:before="11" w:after="0" w:line="200" w:lineRule="exact"/>
        <w:rPr>
          <w:rFonts w:ascii="Palatino Linotype" w:eastAsia="SimSun" w:hAnsi="Palatino Linotype" w:cs="Calibri"/>
          <w:kern w:val="1"/>
          <w:sz w:val="76"/>
          <w:szCs w:val="76"/>
          <w:lang w:eastAsia="ar-SA"/>
        </w:rPr>
      </w:pPr>
    </w:p>
    <w:p w14:paraId="3C51BCE5" w14:textId="7D95346B" w:rsidR="00CB4F11" w:rsidRPr="00CB4F11" w:rsidRDefault="00A21D7C" w:rsidP="00A21D7C">
      <w:pPr>
        <w:suppressAutoHyphens/>
        <w:spacing w:after="0" w:line="240" w:lineRule="auto"/>
        <w:ind w:right="-20"/>
        <w:rPr>
          <w:rFonts w:ascii="Palatino Linotype" w:eastAsia="Calibri" w:hAnsi="Palatino Linotype" w:cs="Calibri"/>
          <w:i/>
          <w:color w:val="231F20"/>
          <w:w w:val="93"/>
          <w:kern w:val="1"/>
          <w:sz w:val="52"/>
          <w:szCs w:val="52"/>
          <w:lang w:eastAsia="ar-SA"/>
        </w:rPr>
      </w:pPr>
      <w:r>
        <w:rPr>
          <w:noProof/>
        </w:rPr>
        <w:drawing>
          <wp:inline distT="0" distB="0" distL="0" distR="0" wp14:anchorId="6C6C3036" wp14:editId="6A39E4E7">
            <wp:extent cx="6858000" cy="2218590"/>
            <wp:effectExtent l="0" t="0" r="0" b="0"/>
            <wp:docPr id="4" name="Picture 4" descr="Rutgers University Seal" title="Rutgers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218590"/>
                    </a:xfrm>
                    <a:prstGeom prst="rect">
                      <a:avLst/>
                    </a:prstGeom>
                  </pic:spPr>
                </pic:pic>
              </a:graphicData>
            </a:graphic>
          </wp:inline>
        </w:drawing>
      </w:r>
    </w:p>
    <w:p w14:paraId="230C672C" w14:textId="53A32C81" w:rsidR="00CB4F11" w:rsidRDefault="00CB4F11" w:rsidP="00A21D7C">
      <w:pPr>
        <w:suppressAutoHyphens/>
        <w:spacing w:after="0" w:line="240" w:lineRule="auto"/>
        <w:rPr>
          <w:rFonts w:ascii="Palatino Linotype" w:eastAsia="SimSun" w:hAnsi="Palatino Linotype" w:cs="Calibri"/>
          <w:kern w:val="1"/>
          <w:sz w:val="24"/>
          <w:szCs w:val="24"/>
          <w:lang w:eastAsia="ar-SA"/>
        </w:rPr>
      </w:pPr>
      <w:r w:rsidRPr="00CB4F11">
        <w:rPr>
          <w:rFonts w:ascii="Palatino Linotype" w:eastAsia="SimSun" w:hAnsi="Palatino Linotype" w:cs="Calibri"/>
          <w:noProof/>
          <w:kern w:val="1"/>
          <w:sz w:val="24"/>
          <w:szCs w:val="24"/>
        </w:rPr>
        <w:drawing>
          <wp:inline distT="0" distB="0" distL="0" distR="0" wp14:anchorId="7EE5C54F" wp14:editId="5092C87E">
            <wp:extent cx="3133725" cy="1026160"/>
            <wp:effectExtent l="0" t="0" r="9525" b="2540"/>
            <wp:docPr id="1" name="Picture 1" descr="Rutgers Education and Employment Research Center logo" title="Rutgers Education and Employment Research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_SIG_EERC_PMS186_70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3725" cy="1026160"/>
                    </a:xfrm>
                    <a:prstGeom prst="rect">
                      <a:avLst/>
                    </a:prstGeom>
                  </pic:spPr>
                </pic:pic>
              </a:graphicData>
            </a:graphic>
          </wp:inline>
        </w:drawing>
      </w:r>
    </w:p>
    <w:p w14:paraId="6008D612" w14:textId="77777777" w:rsidR="00A21D7C" w:rsidRPr="00CB4F11" w:rsidRDefault="00A21D7C" w:rsidP="00A21D7C">
      <w:pPr>
        <w:suppressAutoHyphens/>
        <w:spacing w:after="0" w:line="240" w:lineRule="auto"/>
        <w:rPr>
          <w:rFonts w:ascii="Palatino Linotype" w:eastAsia="SimSun" w:hAnsi="Palatino Linotype" w:cs="Calibri"/>
          <w:kern w:val="1"/>
          <w:sz w:val="24"/>
          <w:szCs w:val="24"/>
          <w:lang w:eastAsia="ar-SA"/>
        </w:rPr>
      </w:pPr>
    </w:p>
    <w:p w14:paraId="2DDEB87C" w14:textId="77777777" w:rsidR="00CB4F11" w:rsidRPr="00CB4F11" w:rsidRDefault="00CB4F11" w:rsidP="00CB4F11">
      <w:pPr>
        <w:suppressAutoHyphens/>
        <w:spacing w:after="0" w:line="240" w:lineRule="auto"/>
        <w:jc w:val="center"/>
        <w:rPr>
          <w:rFonts w:ascii="Palatino Linotype" w:eastAsia="SimSun" w:hAnsi="Palatino Linotype" w:cs="Calibri"/>
          <w:kern w:val="1"/>
          <w:sz w:val="24"/>
          <w:szCs w:val="24"/>
          <w:lang w:eastAsia="ar-SA"/>
        </w:rPr>
      </w:pPr>
      <w:r w:rsidRPr="00CB4F11">
        <w:rPr>
          <w:rFonts w:ascii="Palatino Linotype" w:eastAsia="SimSun" w:hAnsi="Palatino Linotype" w:cs="Calibri"/>
          <w:kern w:val="1"/>
          <w:sz w:val="24"/>
          <w:szCs w:val="24"/>
          <w:lang w:eastAsia="ar-SA"/>
        </w:rPr>
        <w:t>School of Management and Labor Relations</w:t>
      </w:r>
    </w:p>
    <w:p w14:paraId="54583B0C" w14:textId="77777777" w:rsidR="00CB4F11" w:rsidRPr="00CB4F11" w:rsidRDefault="00CB4F11" w:rsidP="00CB4F11">
      <w:pPr>
        <w:suppressAutoHyphens/>
        <w:spacing w:after="0" w:line="240" w:lineRule="auto"/>
        <w:jc w:val="center"/>
        <w:rPr>
          <w:rFonts w:ascii="Palatino Linotype" w:eastAsia="SimSun" w:hAnsi="Palatino Linotype" w:cs="Calibri"/>
          <w:kern w:val="1"/>
          <w:sz w:val="24"/>
          <w:szCs w:val="24"/>
          <w:lang w:eastAsia="ar-SA"/>
        </w:rPr>
      </w:pPr>
      <w:r w:rsidRPr="00CB4F11">
        <w:rPr>
          <w:rFonts w:ascii="Palatino Linotype" w:eastAsia="SimSun" w:hAnsi="Palatino Linotype" w:cs="Calibri"/>
          <w:kern w:val="1"/>
          <w:sz w:val="24"/>
          <w:szCs w:val="24"/>
          <w:lang w:eastAsia="ar-SA"/>
        </w:rPr>
        <w:t>Janice H. Levin Building</w:t>
      </w:r>
    </w:p>
    <w:p w14:paraId="57DE1892" w14:textId="77777777" w:rsidR="00CB4F11" w:rsidRPr="00CB4F11" w:rsidRDefault="00CB4F11" w:rsidP="00CB4F11">
      <w:pPr>
        <w:suppressAutoHyphens/>
        <w:spacing w:after="0" w:line="240" w:lineRule="auto"/>
        <w:jc w:val="center"/>
        <w:rPr>
          <w:rFonts w:ascii="Palatino Linotype" w:eastAsia="SimSun" w:hAnsi="Palatino Linotype" w:cs="Calibri"/>
          <w:kern w:val="1"/>
          <w:sz w:val="24"/>
          <w:szCs w:val="24"/>
          <w:lang w:eastAsia="ar-SA"/>
        </w:rPr>
      </w:pPr>
      <w:r w:rsidRPr="00CB4F11">
        <w:rPr>
          <w:rFonts w:ascii="Palatino Linotype" w:eastAsia="SimSun" w:hAnsi="Palatino Linotype" w:cs="Calibri"/>
          <w:kern w:val="1"/>
          <w:sz w:val="24"/>
          <w:szCs w:val="24"/>
          <w:lang w:eastAsia="ar-SA"/>
        </w:rPr>
        <w:t>94 Rockafeller Road</w:t>
      </w:r>
    </w:p>
    <w:p w14:paraId="7E617160" w14:textId="77777777" w:rsidR="00CB4F11" w:rsidRPr="00CB4F11" w:rsidRDefault="00CB4F11" w:rsidP="00CB4F11">
      <w:pPr>
        <w:suppressAutoHyphens/>
        <w:spacing w:after="0" w:line="240" w:lineRule="auto"/>
        <w:jc w:val="center"/>
        <w:rPr>
          <w:rFonts w:ascii="Palatino Linotype" w:eastAsia="SimSun" w:hAnsi="Palatino Linotype" w:cs="Calibri"/>
          <w:kern w:val="1"/>
          <w:sz w:val="24"/>
          <w:szCs w:val="24"/>
          <w:lang w:eastAsia="ar-SA"/>
        </w:rPr>
      </w:pPr>
      <w:r w:rsidRPr="00CB4F11">
        <w:rPr>
          <w:rFonts w:ascii="Palatino Linotype" w:eastAsia="SimSun" w:hAnsi="Palatino Linotype" w:cs="Calibri"/>
          <w:kern w:val="1"/>
          <w:sz w:val="24"/>
          <w:szCs w:val="24"/>
          <w:lang w:eastAsia="ar-SA"/>
        </w:rPr>
        <w:t>Piscataway, New Jersey 08854</w:t>
      </w:r>
      <w:r w:rsidRPr="00CB4F11">
        <w:rPr>
          <w:rFonts w:ascii="Palatino Linotype" w:eastAsia="SimSun" w:hAnsi="Palatino Linotype" w:cs="Calibri"/>
          <w:kern w:val="1"/>
          <w:sz w:val="24"/>
          <w:szCs w:val="24"/>
          <w:lang w:eastAsia="ar-SA"/>
        </w:rPr>
        <w:cr/>
        <w:t>smlr.rutgers.edu/eerc</w:t>
      </w:r>
    </w:p>
    <w:p w14:paraId="7B4775FE" w14:textId="77777777" w:rsidR="00CB4F11" w:rsidRPr="00CB4F11" w:rsidRDefault="00CB4F11" w:rsidP="00CB4F11">
      <w:pPr>
        <w:suppressAutoHyphens/>
        <w:spacing w:after="0" w:line="240" w:lineRule="auto"/>
        <w:jc w:val="center"/>
        <w:rPr>
          <w:rFonts w:ascii="Palatino Linotype" w:eastAsia="SimSun" w:hAnsi="Palatino Linotype" w:cs="Calibri"/>
          <w:kern w:val="1"/>
          <w:sz w:val="24"/>
          <w:szCs w:val="24"/>
          <w:lang w:eastAsia="ar-SA"/>
        </w:rPr>
      </w:pPr>
    </w:p>
    <w:p w14:paraId="5292B924" w14:textId="77777777" w:rsidR="00D348ED" w:rsidRDefault="00D348ED">
      <w:pPr>
        <w:rPr>
          <w:rFonts w:ascii="Palatino Linotype" w:eastAsia="Calibri" w:hAnsi="Palatino Linotype" w:cs="Times New Roman"/>
          <w:b/>
        </w:rPr>
      </w:pPr>
      <w:r>
        <w:rPr>
          <w:rFonts w:ascii="Palatino Linotype" w:eastAsia="Calibri" w:hAnsi="Palatino Linotype" w:cs="Times New Roman"/>
          <w:b/>
        </w:rPr>
        <w:br w:type="page"/>
      </w:r>
    </w:p>
    <w:p w14:paraId="7F8696DE" w14:textId="6A0B679C" w:rsidR="00CB4F11" w:rsidRPr="00CB4F11" w:rsidRDefault="00CB4F11" w:rsidP="00D348ED">
      <w:pPr>
        <w:spacing w:after="0" w:line="240" w:lineRule="auto"/>
        <w:jc w:val="center"/>
        <w:rPr>
          <w:rFonts w:ascii="Palatino Linotype" w:eastAsia="Calibri" w:hAnsi="Palatino Linotype" w:cs="Times New Roman"/>
          <w:b/>
        </w:rPr>
      </w:pPr>
      <w:r w:rsidRPr="00CB4F11">
        <w:rPr>
          <w:rFonts w:ascii="Palatino Linotype" w:eastAsia="Calibri" w:hAnsi="Palatino Linotype" w:cs="Times New Roman"/>
          <w:b/>
        </w:rPr>
        <w:lastRenderedPageBreak/>
        <w:t xml:space="preserve">New Jersey Health Professions </w:t>
      </w:r>
    </w:p>
    <w:p w14:paraId="6956BDC1" w14:textId="77777777" w:rsidR="00CB4F11" w:rsidRPr="00CB4F11" w:rsidRDefault="00CB4F11" w:rsidP="00D348ED">
      <w:pPr>
        <w:spacing w:after="0" w:line="240" w:lineRule="auto"/>
        <w:jc w:val="center"/>
        <w:rPr>
          <w:rFonts w:ascii="Palatino Linotype" w:eastAsia="Calibri" w:hAnsi="Palatino Linotype" w:cs="Times New Roman"/>
          <w:b/>
        </w:rPr>
      </w:pPr>
      <w:r w:rsidRPr="00CB4F11">
        <w:rPr>
          <w:rFonts w:ascii="Palatino Linotype" w:eastAsia="Calibri" w:hAnsi="Palatino Linotype" w:cs="Times New Roman"/>
          <w:b/>
        </w:rPr>
        <w:t xml:space="preserve">Pathways to Regional Excellence Project TAACCCT Evaluation </w:t>
      </w:r>
    </w:p>
    <w:p w14:paraId="3FBA7FBD" w14:textId="3E6F8FF0" w:rsidR="00CB4F11" w:rsidRPr="00CB4F11" w:rsidRDefault="00D348ED" w:rsidP="00D348ED">
      <w:pPr>
        <w:spacing w:after="0" w:line="240" w:lineRule="auto"/>
        <w:jc w:val="center"/>
        <w:rPr>
          <w:rFonts w:ascii="Palatino Linotype" w:eastAsia="Calibri" w:hAnsi="Palatino Linotype" w:cs="Times New Roman"/>
          <w:b/>
        </w:rPr>
      </w:pPr>
      <w:r>
        <w:rPr>
          <w:rFonts w:ascii="Palatino Linotype" w:eastAsia="Calibri" w:hAnsi="Palatino Linotype" w:cs="Times New Roman"/>
          <w:b/>
        </w:rPr>
        <w:t>Final Report</w:t>
      </w:r>
    </w:p>
    <w:p w14:paraId="0CC875F7" w14:textId="77777777" w:rsidR="00CB4F11" w:rsidRPr="00CB4F11" w:rsidRDefault="00CB4F11" w:rsidP="00D348ED">
      <w:pPr>
        <w:spacing w:after="0" w:line="240" w:lineRule="auto"/>
        <w:jc w:val="center"/>
        <w:rPr>
          <w:rFonts w:ascii="Palatino Linotype" w:eastAsia="Calibri" w:hAnsi="Palatino Linotype" w:cs="Times New Roman"/>
          <w:b/>
        </w:rPr>
      </w:pPr>
    </w:p>
    <w:p w14:paraId="016233DD" w14:textId="77777777" w:rsidR="00CB4F11" w:rsidRPr="00CB4F11" w:rsidRDefault="00CB4F11" w:rsidP="00D348ED">
      <w:pPr>
        <w:spacing w:after="0" w:line="240" w:lineRule="auto"/>
        <w:jc w:val="center"/>
        <w:rPr>
          <w:rFonts w:ascii="Palatino Linotype" w:eastAsia="Calibri" w:hAnsi="Palatino Linotype" w:cs="Times New Roman"/>
          <w:b/>
        </w:rPr>
      </w:pPr>
    </w:p>
    <w:p w14:paraId="2F6C626E" w14:textId="77777777" w:rsidR="00CB4F11" w:rsidRPr="00CB4F11" w:rsidRDefault="00CB4F11" w:rsidP="00D348ED">
      <w:pPr>
        <w:spacing w:after="0" w:line="240" w:lineRule="auto"/>
        <w:jc w:val="center"/>
        <w:rPr>
          <w:rFonts w:ascii="Palatino Linotype" w:eastAsia="Calibri" w:hAnsi="Palatino Linotype" w:cs="Times New Roman"/>
          <w:b/>
        </w:rPr>
      </w:pPr>
      <w:r w:rsidRPr="00CB4F11">
        <w:rPr>
          <w:rFonts w:ascii="Palatino Linotype" w:eastAsia="Calibri" w:hAnsi="Palatino Linotype" w:cs="Times New Roman"/>
          <w:b/>
        </w:rPr>
        <w:t>Executive Summary</w:t>
      </w:r>
    </w:p>
    <w:p w14:paraId="6C08D1D4" w14:textId="77777777" w:rsidR="00CB4F11" w:rsidRPr="00CB4F11" w:rsidRDefault="00CB4F11" w:rsidP="00CB4F11">
      <w:pPr>
        <w:spacing w:after="0" w:line="240" w:lineRule="auto"/>
        <w:jc w:val="center"/>
        <w:rPr>
          <w:rFonts w:ascii="Palatino Linotype" w:eastAsia="Calibri" w:hAnsi="Palatino Linotype" w:cs="Times New Roman"/>
          <w:b/>
        </w:rPr>
      </w:pPr>
    </w:p>
    <w:p w14:paraId="29669C61" w14:textId="77777777" w:rsidR="00CB4F11" w:rsidRPr="008E4A79" w:rsidRDefault="00CB4F11" w:rsidP="00CB4F11">
      <w:pPr>
        <w:spacing w:after="200" w:line="276" w:lineRule="auto"/>
        <w:rPr>
          <w:rFonts w:ascii="Palatino Linotype" w:eastAsia="Calibri" w:hAnsi="Palatino Linotype" w:cs="Times New Roman"/>
          <w:b/>
        </w:rPr>
      </w:pPr>
    </w:p>
    <w:p w14:paraId="20E3B857" w14:textId="4E094B47" w:rsidR="00CB4F11" w:rsidRDefault="008E4A79" w:rsidP="00A21D7C">
      <w:pPr>
        <w:pStyle w:val="NoSpacing"/>
        <w:jc w:val="center"/>
        <w:rPr>
          <w:rFonts w:ascii="Palatino Linotype" w:hAnsi="Palatino Linotype"/>
        </w:rPr>
      </w:pPr>
      <w:r w:rsidRPr="008E4A79">
        <w:rPr>
          <w:rFonts w:ascii="Palatino Linotype" w:hAnsi="Palatino Linotype"/>
        </w:rPr>
        <w:t>Michelle Van Noy, Renée Edwards, Sara B. Haviland, Heather McKay, Daniel Douglas, William Mabe, Victoria Coty, Sofia Javed, Nikolas Pardalis, and Laci Hubbard-Mattix</w:t>
      </w:r>
    </w:p>
    <w:p w14:paraId="5599BB5B" w14:textId="77777777" w:rsidR="00A21D7C" w:rsidRPr="00CB4F11" w:rsidRDefault="00A21D7C" w:rsidP="00A21D7C">
      <w:pPr>
        <w:pStyle w:val="NoSpacing"/>
        <w:jc w:val="center"/>
        <w:rPr>
          <w:rFonts w:ascii="Palatino Linotype" w:hAnsi="Palatino Linotype"/>
        </w:rPr>
      </w:pPr>
    </w:p>
    <w:p w14:paraId="5B2398C1" w14:textId="77777777" w:rsidR="00CB4F11" w:rsidRPr="00CB4F11" w:rsidRDefault="00CB4F11" w:rsidP="00CB4F11">
      <w:pPr>
        <w:spacing w:after="0" w:line="240" w:lineRule="auto"/>
        <w:jc w:val="center"/>
        <w:rPr>
          <w:rFonts w:ascii="Palatino Linotype" w:eastAsia="Calibri" w:hAnsi="Palatino Linotype" w:cs="Times New Roman"/>
        </w:rPr>
      </w:pPr>
      <w:r w:rsidRPr="00CB4F11">
        <w:rPr>
          <w:rFonts w:ascii="Palatino Linotype" w:eastAsia="Calibri" w:hAnsi="Palatino Linotype" w:cs="Times New Roman"/>
        </w:rPr>
        <w:t>Education and Employment Research Center</w:t>
      </w:r>
    </w:p>
    <w:p w14:paraId="7FA808F7" w14:textId="77777777" w:rsidR="00CB4F11" w:rsidRPr="00CB4F11" w:rsidRDefault="00CB4F11" w:rsidP="00CB4F11">
      <w:pPr>
        <w:spacing w:after="0" w:line="240" w:lineRule="auto"/>
        <w:jc w:val="center"/>
        <w:rPr>
          <w:rFonts w:ascii="Palatino Linotype" w:eastAsia="Calibri" w:hAnsi="Palatino Linotype" w:cs="Times New Roman"/>
        </w:rPr>
      </w:pPr>
      <w:r w:rsidRPr="00CB4F11">
        <w:rPr>
          <w:rFonts w:ascii="Palatino Linotype" w:eastAsia="Calibri" w:hAnsi="Palatino Linotype" w:cs="Times New Roman"/>
        </w:rPr>
        <w:t>School of Management and Labor Relations</w:t>
      </w:r>
    </w:p>
    <w:p w14:paraId="6C6CD84D" w14:textId="77777777" w:rsidR="00CB4F11" w:rsidRPr="00CB4F11" w:rsidRDefault="00CB4F11" w:rsidP="00CB4F11">
      <w:pPr>
        <w:spacing w:after="0" w:line="240" w:lineRule="auto"/>
        <w:jc w:val="center"/>
        <w:rPr>
          <w:rFonts w:ascii="Palatino Linotype" w:eastAsia="Calibri" w:hAnsi="Palatino Linotype" w:cs="Times New Roman"/>
        </w:rPr>
      </w:pPr>
      <w:r w:rsidRPr="00CB4F11">
        <w:rPr>
          <w:rFonts w:ascii="Palatino Linotype" w:eastAsia="Calibri" w:hAnsi="Palatino Linotype" w:cs="Times New Roman"/>
        </w:rPr>
        <w:t>Rutgers, the State University of New Jersey</w:t>
      </w:r>
    </w:p>
    <w:p w14:paraId="26B2E375" w14:textId="77777777" w:rsidR="00CB4F11" w:rsidRPr="00CB4F11" w:rsidRDefault="00CB4F11" w:rsidP="00CB4F11">
      <w:pPr>
        <w:spacing w:after="0" w:line="240" w:lineRule="auto"/>
        <w:jc w:val="center"/>
        <w:rPr>
          <w:rFonts w:ascii="Palatino Linotype" w:eastAsia="Calibri" w:hAnsi="Palatino Linotype" w:cs="Times New Roman"/>
        </w:rPr>
      </w:pPr>
      <w:r w:rsidRPr="00CB4F11">
        <w:rPr>
          <w:rFonts w:ascii="Palatino Linotype" w:eastAsia="Calibri" w:hAnsi="Palatino Linotype" w:cs="Times New Roman"/>
        </w:rPr>
        <w:t>Janice H. Levin Building</w:t>
      </w:r>
    </w:p>
    <w:p w14:paraId="37CCBF1E" w14:textId="77777777" w:rsidR="00CB4F11" w:rsidRPr="00CB4F11" w:rsidRDefault="00CB4F11" w:rsidP="00CB4F11">
      <w:pPr>
        <w:spacing w:after="0" w:line="240" w:lineRule="auto"/>
        <w:jc w:val="center"/>
        <w:rPr>
          <w:rFonts w:ascii="Palatino Linotype" w:eastAsia="Calibri" w:hAnsi="Palatino Linotype" w:cs="Times New Roman"/>
        </w:rPr>
      </w:pPr>
      <w:r w:rsidRPr="00CB4F11">
        <w:rPr>
          <w:rFonts w:ascii="Palatino Linotype" w:eastAsia="Calibri" w:hAnsi="Palatino Linotype" w:cs="Times New Roman"/>
        </w:rPr>
        <w:t>94 Rockafeller Road</w:t>
      </w:r>
    </w:p>
    <w:p w14:paraId="0BA411F7" w14:textId="05B586BA" w:rsidR="00CB4F11" w:rsidRDefault="00CB4F11" w:rsidP="00CB4F11">
      <w:pPr>
        <w:spacing w:after="0" w:line="240" w:lineRule="auto"/>
        <w:jc w:val="center"/>
        <w:rPr>
          <w:rFonts w:ascii="Palatino Linotype" w:eastAsia="Calibri" w:hAnsi="Palatino Linotype" w:cs="Times New Roman"/>
        </w:rPr>
      </w:pPr>
      <w:r w:rsidRPr="00CB4F11">
        <w:rPr>
          <w:rFonts w:ascii="Palatino Linotype" w:eastAsia="Calibri" w:hAnsi="Palatino Linotype" w:cs="Times New Roman"/>
        </w:rPr>
        <w:t>Piscataway, NJ 08854</w:t>
      </w:r>
    </w:p>
    <w:p w14:paraId="1FFE39EE" w14:textId="77777777" w:rsidR="00A21D7C" w:rsidRPr="00CB4F11" w:rsidRDefault="00A21D7C" w:rsidP="00CB4F11">
      <w:pPr>
        <w:spacing w:after="0" w:line="240" w:lineRule="auto"/>
        <w:jc w:val="center"/>
        <w:rPr>
          <w:rFonts w:ascii="Palatino Linotype" w:eastAsia="Calibri" w:hAnsi="Palatino Linotype" w:cs="Times New Roman"/>
        </w:rPr>
      </w:pPr>
    </w:p>
    <w:p w14:paraId="042CC818" w14:textId="77012750" w:rsidR="00CB4F11" w:rsidRDefault="00D348ED" w:rsidP="00CB4F11">
      <w:pPr>
        <w:spacing w:after="0" w:line="240" w:lineRule="auto"/>
        <w:jc w:val="center"/>
        <w:rPr>
          <w:rFonts w:ascii="Palatino Linotype" w:eastAsia="Calibri" w:hAnsi="Palatino Linotype" w:cs="Times New Roman"/>
        </w:rPr>
      </w:pPr>
      <w:r>
        <w:rPr>
          <w:rFonts w:ascii="Palatino Linotype" w:eastAsia="Calibri" w:hAnsi="Palatino Linotype" w:cs="Times New Roman"/>
        </w:rPr>
        <w:t>September 2018</w:t>
      </w:r>
    </w:p>
    <w:p w14:paraId="024E2FB0" w14:textId="77777777" w:rsidR="00A21D7C" w:rsidRPr="00CB4F11" w:rsidRDefault="00A21D7C" w:rsidP="00CB4F11">
      <w:pPr>
        <w:spacing w:after="0" w:line="240" w:lineRule="auto"/>
        <w:jc w:val="center"/>
        <w:rPr>
          <w:rFonts w:ascii="Palatino Linotype" w:eastAsia="Calibri" w:hAnsi="Palatino Linotype" w:cs="Times New Roman"/>
          <w:i/>
          <w:kern w:val="2"/>
        </w:rPr>
      </w:pPr>
    </w:p>
    <w:p w14:paraId="4504F1DF" w14:textId="77777777" w:rsidR="00CB4F11" w:rsidRPr="00CB4F11" w:rsidRDefault="00CB4F11" w:rsidP="00CB4F11">
      <w:pPr>
        <w:spacing w:after="0" w:line="240" w:lineRule="auto"/>
        <w:rPr>
          <w:rFonts w:ascii="Palatino Linotype" w:eastAsia="Calibri" w:hAnsi="Palatino Linotype" w:cs="Times New Roman"/>
        </w:rPr>
      </w:pPr>
      <w:r w:rsidRPr="00CB4F11">
        <w:rPr>
          <w:rFonts w:ascii="Palatino Linotype" w:eastAsia="Calibri" w:hAnsi="Palatino Linotype" w:cs="Times New Roman"/>
        </w:rPr>
        <w:t>Preparation of this document was fully funded by a $15 million grant awarded by the U.S. Department of Labor’s Employment and Training Administration. The document was created by the authors and does not necessarily reflect the official position of the U.S. Department of Labor. The Department of Labor makes no guarantees, warranties, or assurances of any kind, express or implied, with respect to such information, including information on linked sites and including, but not limited to, accuracy of the information or its completeness, timelines, usefulness, adequacy, continued availability, or ownership.</w:t>
      </w:r>
    </w:p>
    <w:p w14:paraId="027A108B" w14:textId="77777777" w:rsidR="00D348ED" w:rsidRDefault="00D348ED" w:rsidP="00D348ED">
      <w:pPr>
        <w:pStyle w:val="NoSpacing"/>
        <w:suppressAutoHyphens/>
      </w:pPr>
    </w:p>
    <w:p w14:paraId="1FD95FC4" w14:textId="77777777" w:rsidR="00D348ED" w:rsidRPr="009F16E2" w:rsidRDefault="00D348ED" w:rsidP="00D348ED">
      <w:pPr>
        <w:pStyle w:val="Header"/>
        <w:jc w:val="center"/>
        <w:rPr>
          <w:rStyle w:val="outputbox"/>
          <w:rFonts w:ascii="Arial Narrow" w:hAnsi="Arial Narrow"/>
        </w:rPr>
      </w:pPr>
      <w:r w:rsidRPr="009F16E2">
        <w:rPr>
          <w:rFonts w:ascii="Arial Narrow" w:hAnsi="Arial Narrow"/>
          <w:noProof/>
          <w:sz w:val="18"/>
          <w:szCs w:val="18"/>
        </w:rPr>
        <w:drawing>
          <wp:inline distT="0" distB="0" distL="0" distR="0" wp14:anchorId="587A9F0B" wp14:editId="733445E8">
            <wp:extent cx="838200" cy="295275"/>
            <wp:effectExtent l="0" t="0" r="0" b="9525"/>
            <wp:docPr id="3" name="Picture 3" descr="cid:image002.png@01D2B51B.F02D9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B51B.F02D97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13BAFAE" w14:textId="77777777" w:rsidR="00D348ED" w:rsidRPr="009F16E2" w:rsidRDefault="00D348ED" w:rsidP="00D348ED">
      <w:pPr>
        <w:pStyle w:val="NoSpacing"/>
        <w:rPr>
          <w:rFonts w:ascii="Arial Narrow" w:hAnsi="Arial Narrow" w:cs="Arial"/>
          <w:sz w:val="18"/>
          <w:szCs w:val="18"/>
        </w:rPr>
      </w:pPr>
    </w:p>
    <w:p w14:paraId="19CF9003" w14:textId="79D6D1EC" w:rsidR="00D348ED" w:rsidRDefault="00D348ED" w:rsidP="00D348ED">
      <w:pPr>
        <w:rPr>
          <w:rStyle w:val="Hyperlink"/>
          <w:rFonts w:ascii="Arial Narrow" w:hAnsi="Arial Narrow"/>
          <w:sz w:val="16"/>
          <w:szCs w:val="16"/>
        </w:rPr>
      </w:pPr>
      <w:r w:rsidRPr="009F16E2">
        <w:rPr>
          <w:rStyle w:val="outputbox"/>
          <w:rFonts w:ascii="Arial Narrow" w:hAnsi="Arial Narrow"/>
          <w:sz w:val="16"/>
          <w:szCs w:val="16"/>
        </w:rPr>
        <w:t>"</w:t>
      </w:r>
      <w:r w:rsidRPr="009328B3">
        <w:rPr>
          <w:rStyle w:val="outputbox"/>
          <w:rFonts w:ascii="Arial Narrow" w:hAnsi="Arial Narrow"/>
          <w:sz w:val="16"/>
          <w:szCs w:val="16"/>
        </w:rPr>
        <w:t xml:space="preserve">New Jersey Health Professions Pathways to Regional Excellence Project TAACCCT Evaluation Final Report: </w:t>
      </w:r>
      <w:r>
        <w:rPr>
          <w:rStyle w:val="outputbox"/>
          <w:rFonts w:ascii="Arial Narrow" w:hAnsi="Arial Narrow"/>
          <w:sz w:val="16"/>
          <w:szCs w:val="16"/>
        </w:rPr>
        <w:t>Executive Summary</w:t>
      </w:r>
      <w:r w:rsidRPr="009F16E2">
        <w:rPr>
          <w:rStyle w:val="outputbox"/>
          <w:rFonts w:ascii="Arial Narrow" w:hAnsi="Arial Narrow"/>
          <w:sz w:val="16"/>
          <w:szCs w:val="16"/>
        </w:rPr>
        <w:t xml:space="preserve">" by </w:t>
      </w:r>
      <w:r w:rsidR="008E4A79" w:rsidRPr="008E4A79">
        <w:rPr>
          <w:rStyle w:val="outputbox"/>
          <w:rFonts w:ascii="Arial Narrow" w:hAnsi="Arial Narrow"/>
          <w:sz w:val="16"/>
          <w:szCs w:val="16"/>
        </w:rPr>
        <w:t>Michelle Van Noy, Renée Edwards, Sara B. Haviland, Heather McKay, Daniel Douglas, William Mabe, Victoria Coty, Sofia Javed, Nikolas Pardalis, and Laci Hubbard-Mattix</w:t>
      </w:r>
      <w:r w:rsidRPr="009F16E2">
        <w:rPr>
          <w:rStyle w:val="outputbox"/>
          <w:rFonts w:ascii="Arial Narrow" w:hAnsi="Arial Narrow"/>
          <w:sz w:val="16"/>
          <w:szCs w:val="16"/>
        </w:rPr>
        <w:t xml:space="preserve">, Rutgers University, Education and Employment Research Center, NJ PREP, TAACCCT Grant is licensed under </w:t>
      </w:r>
      <w:hyperlink r:id="rId12" w:tgtFrame="_blank" w:history="1">
        <w:r w:rsidRPr="009F16E2">
          <w:rPr>
            <w:rStyle w:val="Hyperlink"/>
            <w:rFonts w:ascii="Arial Narrow" w:hAnsi="Arial Narrow"/>
            <w:sz w:val="16"/>
            <w:szCs w:val="16"/>
          </w:rPr>
          <w:t>CC BY-NC-ND 4.0</w:t>
        </w:r>
      </w:hyperlink>
    </w:p>
    <w:p w14:paraId="5692CACB" w14:textId="3D82B457" w:rsidR="00D348ED" w:rsidRPr="009F16E2" w:rsidRDefault="00D348ED" w:rsidP="00D348ED">
      <w:pPr>
        <w:rPr>
          <w:rFonts w:ascii="Arial Narrow" w:hAnsi="Arial Narrow"/>
          <w:sz w:val="18"/>
          <w:szCs w:val="18"/>
        </w:rPr>
      </w:pPr>
      <w:r w:rsidRPr="009F16E2">
        <w:rPr>
          <w:rFonts w:ascii="Arial Narrow" w:hAnsi="Arial Narrow"/>
          <w:sz w:val="16"/>
          <w:szCs w:val="16"/>
        </w:rPr>
        <w:t>&lt;a&gt;"</w:t>
      </w:r>
      <w:r w:rsidRPr="009328B3">
        <w:rPr>
          <w:rStyle w:val="outputbox"/>
          <w:rFonts w:ascii="Arial Narrow" w:hAnsi="Arial Narrow"/>
          <w:sz w:val="16"/>
          <w:szCs w:val="16"/>
        </w:rPr>
        <w:t xml:space="preserve">New Jersey Health Professions Pathways to Regional Excellence Project TAACCCT Evaluation Final Report: </w:t>
      </w:r>
      <w:r>
        <w:rPr>
          <w:rStyle w:val="outputbox"/>
          <w:rFonts w:ascii="Arial Narrow" w:hAnsi="Arial Narrow"/>
          <w:sz w:val="16"/>
          <w:szCs w:val="16"/>
        </w:rPr>
        <w:t xml:space="preserve">Executive </w:t>
      </w:r>
      <w:r w:rsidRPr="008E4A79">
        <w:rPr>
          <w:rStyle w:val="outputbox"/>
          <w:rFonts w:ascii="Arial Narrow" w:hAnsi="Arial Narrow"/>
          <w:sz w:val="16"/>
          <w:szCs w:val="16"/>
        </w:rPr>
        <w:t>Summary</w:t>
      </w:r>
      <w:r w:rsidRPr="008E4A79">
        <w:rPr>
          <w:rFonts w:ascii="Arial Narrow" w:hAnsi="Arial Narrow"/>
          <w:sz w:val="16"/>
          <w:szCs w:val="16"/>
        </w:rPr>
        <w:t>"&lt;/a&gt; by &lt;a&gt;</w:t>
      </w:r>
      <w:r w:rsidRPr="008E4A79">
        <w:t xml:space="preserve"> </w:t>
      </w:r>
      <w:r w:rsidRPr="008E4A79">
        <w:rPr>
          <w:rFonts w:ascii="Arial Narrow" w:hAnsi="Arial Narrow"/>
          <w:sz w:val="16"/>
          <w:szCs w:val="16"/>
        </w:rPr>
        <w:t>by Michelle Van Noy, Renée Edwards, Sara B. Haviland, Heather McKay, Daniel Douglas, William Mabe, Victoria Coty, Sofia Javed, Nikolas Pardalis, and Laci Hubbard-Mattix,</w:t>
      </w:r>
      <w:r w:rsidRPr="009F16E2">
        <w:rPr>
          <w:rFonts w:ascii="Arial Narrow" w:hAnsi="Arial Narrow"/>
          <w:sz w:val="16"/>
          <w:szCs w:val="16"/>
        </w:rPr>
        <w:t xml:space="preserve"> Rutgers University, Education and Employment Research Center&lt;/a&gt;, &lt;a&gt;NJ PREP&lt;/a&gt;, &lt;a&gt;TAACCCT Grant &lt;/a&gt; is licensed under &lt;a href="http://creativecommons.org/licenses/by-nc-nd/4.0" target="_blank"&gt;CC BY-NC-ND 4.0&lt;/a&gt;</w:t>
      </w:r>
    </w:p>
    <w:p w14:paraId="456437BE" w14:textId="30BB57D4" w:rsidR="00B870C7" w:rsidRDefault="00B870C7" w:rsidP="00B870C7">
      <w:pPr>
        <w:pStyle w:val="TOCHeading"/>
        <w:ind w:left="0" w:firstLine="0"/>
        <w:rPr>
          <w:rFonts w:eastAsiaTheme="minorHAnsi" w:cstheme="minorBidi"/>
          <w:b w:val="0"/>
          <w:szCs w:val="22"/>
        </w:rPr>
      </w:pPr>
    </w:p>
    <w:sdt>
      <w:sdtPr>
        <w:rPr>
          <w:rFonts w:asciiTheme="minorHAnsi" w:eastAsiaTheme="minorHAnsi" w:hAnsiTheme="minorHAnsi" w:cstheme="minorBidi"/>
          <w:b w:val="0"/>
          <w:szCs w:val="22"/>
        </w:rPr>
        <w:id w:val="2067144141"/>
        <w:docPartObj>
          <w:docPartGallery w:val="Table of Contents"/>
          <w:docPartUnique/>
        </w:docPartObj>
      </w:sdtPr>
      <w:sdtEndPr>
        <w:rPr>
          <w:bCs/>
          <w:noProof/>
        </w:rPr>
      </w:sdtEndPr>
      <w:sdtContent>
        <w:p w14:paraId="52599967" w14:textId="1C5A0AFC" w:rsidR="002A6260" w:rsidRPr="00B870C7" w:rsidRDefault="002A6260" w:rsidP="00D348ED">
          <w:pPr>
            <w:pStyle w:val="TOCHeading"/>
            <w:ind w:left="0" w:firstLine="0"/>
            <w:jc w:val="center"/>
            <w:rPr>
              <w:rFonts w:eastAsiaTheme="minorHAnsi" w:cstheme="minorBidi"/>
              <w:b w:val="0"/>
              <w:szCs w:val="22"/>
            </w:rPr>
          </w:pPr>
          <w:r w:rsidRPr="00B870C7">
            <w:t>Table of Contents</w:t>
          </w:r>
        </w:p>
        <w:p w14:paraId="6DCDB4F6" w14:textId="30EA6728" w:rsidR="006377E9" w:rsidRPr="00DA5DAF" w:rsidRDefault="002A6260">
          <w:pPr>
            <w:pStyle w:val="TOC1"/>
            <w:tabs>
              <w:tab w:val="left" w:pos="440"/>
              <w:tab w:val="right" w:leader="dot" w:pos="9350"/>
            </w:tabs>
            <w:rPr>
              <w:rFonts w:ascii="Palatino Linotype" w:eastAsiaTheme="minorEastAsia" w:hAnsi="Palatino Linotype"/>
              <w:noProof/>
            </w:rPr>
          </w:pPr>
          <w:r w:rsidRPr="00B870C7">
            <w:rPr>
              <w:rFonts w:ascii="Palatino Linotype" w:hAnsi="Palatino Linotype"/>
              <w:b/>
              <w:bCs/>
              <w:noProof/>
            </w:rPr>
            <w:fldChar w:fldCharType="begin"/>
          </w:r>
          <w:r w:rsidRPr="00B870C7">
            <w:rPr>
              <w:rFonts w:ascii="Palatino Linotype" w:hAnsi="Palatino Linotype"/>
              <w:b/>
              <w:bCs/>
              <w:noProof/>
            </w:rPr>
            <w:instrText xml:space="preserve"> TOC \o "1-3" \h \z \u </w:instrText>
          </w:r>
          <w:r w:rsidRPr="00B870C7">
            <w:rPr>
              <w:rFonts w:ascii="Palatino Linotype" w:hAnsi="Palatino Linotype"/>
              <w:b/>
              <w:bCs/>
              <w:noProof/>
            </w:rPr>
            <w:fldChar w:fldCharType="separate"/>
          </w:r>
          <w:hyperlink w:anchor="_Toc525550478" w:history="1">
            <w:r w:rsidR="006377E9" w:rsidRPr="00DA5DAF">
              <w:rPr>
                <w:rStyle w:val="Hyperlink"/>
                <w:rFonts w:ascii="Palatino Linotype" w:hAnsi="Palatino Linotype"/>
                <w:noProof/>
              </w:rPr>
              <w:t>I.</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Project and Purpose</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_Toc525550478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1</w:t>
            </w:r>
            <w:r w:rsidR="006377E9" w:rsidRPr="00DA5DAF">
              <w:rPr>
                <w:rFonts w:ascii="Palatino Linotype" w:hAnsi="Palatino Linotype"/>
                <w:noProof/>
                <w:webHidden/>
              </w:rPr>
              <w:fldChar w:fldCharType="end"/>
            </w:r>
          </w:hyperlink>
        </w:p>
        <w:p w14:paraId="07A4306A" w14:textId="0AA3B600"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79" w:history="1">
            <w:r w:rsidR="006377E9" w:rsidRPr="00DA5DAF">
              <w:rPr>
                <w:rStyle w:val="Hyperlink"/>
                <w:rFonts w:ascii="Palatino Linotype" w:hAnsi="Palatino Linotype"/>
                <w:noProof/>
              </w:rPr>
              <w:t>A.</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Interventions</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_Toc525550479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2</w:t>
            </w:r>
            <w:r w:rsidR="006377E9" w:rsidRPr="00DA5DAF">
              <w:rPr>
                <w:rFonts w:ascii="Palatino Linotype" w:hAnsi="Palatino Linotype"/>
                <w:noProof/>
                <w:webHidden/>
              </w:rPr>
              <w:fldChar w:fldCharType="end"/>
            </w:r>
          </w:hyperlink>
        </w:p>
        <w:p w14:paraId="40E20D7A" w14:textId="52F10A18"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0" w:history="1">
            <w:r w:rsidR="006377E9" w:rsidRPr="00DA5DAF">
              <w:rPr>
                <w:rStyle w:val="Hyperlink"/>
                <w:rFonts w:ascii="Palatino Linotype" w:hAnsi="Palatino Linotype"/>
                <w:noProof/>
              </w:rPr>
              <w:t>B.</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Populations Served</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_Toc525550480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3</w:t>
            </w:r>
            <w:r w:rsidR="006377E9" w:rsidRPr="00DA5DAF">
              <w:rPr>
                <w:rFonts w:ascii="Palatino Linotype" w:hAnsi="Palatino Linotype"/>
                <w:noProof/>
                <w:webHidden/>
              </w:rPr>
              <w:fldChar w:fldCharType="end"/>
            </w:r>
          </w:hyperlink>
        </w:p>
        <w:p w14:paraId="3B2BD949" w14:textId="6DEC1E1D"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1" w:history="1">
            <w:r w:rsidR="006377E9" w:rsidRPr="00DA5DAF">
              <w:rPr>
                <w:rStyle w:val="Hyperlink"/>
                <w:rFonts w:ascii="Palatino Linotype" w:hAnsi="Palatino Linotype"/>
                <w:noProof/>
              </w:rPr>
              <w:t>C.</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Evidence-based Model</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_Toc525550481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4</w:t>
            </w:r>
            <w:r w:rsidR="006377E9" w:rsidRPr="00DA5DAF">
              <w:rPr>
                <w:rFonts w:ascii="Palatino Linotype" w:hAnsi="Palatino Linotype"/>
                <w:noProof/>
                <w:webHidden/>
              </w:rPr>
              <w:fldChar w:fldCharType="end"/>
            </w:r>
          </w:hyperlink>
        </w:p>
        <w:p w14:paraId="1C3BA8CD" w14:textId="051E3546" w:rsidR="006377E9" w:rsidRPr="00DA5DAF" w:rsidRDefault="00A21D7C">
          <w:pPr>
            <w:pStyle w:val="TOC1"/>
            <w:tabs>
              <w:tab w:val="left" w:pos="440"/>
              <w:tab w:val="right" w:leader="dot" w:pos="9350"/>
            </w:tabs>
            <w:rPr>
              <w:rFonts w:ascii="Palatino Linotype" w:eastAsiaTheme="minorEastAsia" w:hAnsi="Palatino Linotype"/>
              <w:noProof/>
            </w:rPr>
          </w:pPr>
          <w:hyperlink w:anchor="_Toc525550482" w:history="1">
            <w:r w:rsidR="006377E9" w:rsidRPr="00DA5DAF">
              <w:rPr>
                <w:rStyle w:val="Hyperlink"/>
                <w:rFonts w:ascii="Palatino Linotype" w:hAnsi="Palatino Linotype"/>
                <w:noProof/>
              </w:rPr>
              <w:t>II.</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Evaluation Design Summary</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_Toc525550482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5</w:t>
            </w:r>
            <w:r w:rsidR="006377E9" w:rsidRPr="00DA5DAF">
              <w:rPr>
                <w:rFonts w:ascii="Palatino Linotype" w:hAnsi="Palatino Linotype"/>
                <w:noProof/>
                <w:webHidden/>
              </w:rPr>
              <w:fldChar w:fldCharType="end"/>
            </w:r>
          </w:hyperlink>
        </w:p>
        <w:p w14:paraId="37C78DCD" w14:textId="41B13626"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3" w:history="1">
            <w:r w:rsidR="006377E9" w:rsidRPr="00DA5DAF">
              <w:rPr>
                <w:rStyle w:val="Hyperlink"/>
                <w:rFonts w:ascii="Palatino Linotype" w:hAnsi="Palatino Linotype"/>
                <w:noProof/>
              </w:rPr>
              <w:t>A.</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Goals of Evaluation</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_Toc525550483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5</w:t>
            </w:r>
            <w:r w:rsidR="006377E9" w:rsidRPr="00DA5DAF">
              <w:rPr>
                <w:rFonts w:ascii="Palatino Linotype" w:hAnsi="Palatino Linotype"/>
                <w:noProof/>
                <w:webHidden/>
              </w:rPr>
              <w:fldChar w:fldCharType="end"/>
            </w:r>
          </w:hyperlink>
        </w:p>
        <w:p w14:paraId="7D97B654" w14:textId="66909913"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4" w:history="1">
            <w:r w:rsidR="006377E9" w:rsidRPr="00DA5DAF">
              <w:rPr>
                <w:rStyle w:val="Hyperlink"/>
                <w:rFonts w:ascii="Palatino Linotype" w:hAnsi="Palatino Linotype"/>
                <w:noProof/>
              </w:rPr>
              <w:t>B.</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Implementation Study Design</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_Toc525550484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6</w:t>
            </w:r>
            <w:r w:rsidR="006377E9" w:rsidRPr="00DA5DAF">
              <w:rPr>
                <w:rFonts w:ascii="Palatino Linotype" w:hAnsi="Palatino Linotype"/>
                <w:noProof/>
                <w:webHidden/>
              </w:rPr>
              <w:fldChar w:fldCharType="end"/>
            </w:r>
          </w:hyperlink>
        </w:p>
        <w:p w14:paraId="403AB1F2" w14:textId="3649F8BA"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5" w:history="1">
            <w:r w:rsidR="006377E9" w:rsidRPr="00DA5DAF">
              <w:rPr>
                <w:rStyle w:val="Hyperlink"/>
                <w:rFonts w:ascii="Palatino Linotype" w:hAnsi="Palatino Linotype"/>
                <w:noProof/>
              </w:rPr>
              <w:t>C.</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Outcomes/Impact Study Design</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_Toc525550485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7</w:t>
            </w:r>
            <w:r w:rsidR="006377E9" w:rsidRPr="00DA5DAF">
              <w:rPr>
                <w:rFonts w:ascii="Palatino Linotype" w:hAnsi="Palatino Linotype"/>
                <w:noProof/>
                <w:webHidden/>
              </w:rPr>
              <w:fldChar w:fldCharType="end"/>
            </w:r>
          </w:hyperlink>
        </w:p>
        <w:p w14:paraId="26C96D74" w14:textId="481C3FBB" w:rsidR="006377E9" w:rsidRPr="00DA5DAF" w:rsidRDefault="00A21D7C">
          <w:pPr>
            <w:pStyle w:val="TOC1"/>
            <w:tabs>
              <w:tab w:val="left" w:pos="660"/>
              <w:tab w:val="right" w:leader="dot" w:pos="9350"/>
            </w:tabs>
            <w:rPr>
              <w:rFonts w:ascii="Palatino Linotype" w:eastAsiaTheme="minorEastAsia" w:hAnsi="Palatino Linotype"/>
              <w:noProof/>
            </w:rPr>
          </w:pPr>
          <w:hyperlink w:anchor="_Toc525550486" w:history="1">
            <w:r w:rsidR="006377E9" w:rsidRPr="00DA5DAF">
              <w:rPr>
                <w:rStyle w:val="Hyperlink"/>
                <w:rFonts w:ascii="Palatino Linotype" w:hAnsi="Palatino Linotype"/>
                <w:noProof/>
              </w:rPr>
              <w:t>III.</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Implementation Findings</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_Toc525550486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7</w:t>
            </w:r>
            <w:r w:rsidR="006377E9" w:rsidRPr="00DA5DAF">
              <w:rPr>
                <w:rFonts w:ascii="Palatino Linotype" w:hAnsi="Palatino Linotype"/>
                <w:noProof/>
                <w:webHidden/>
              </w:rPr>
              <w:fldChar w:fldCharType="end"/>
            </w:r>
          </w:hyperlink>
        </w:p>
        <w:p w14:paraId="1878BB22" w14:textId="043572F3"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7" w:history="1">
            <w:r w:rsidR="006377E9" w:rsidRPr="00DA5DAF">
              <w:rPr>
                <w:rStyle w:val="Hyperlink"/>
                <w:rFonts w:ascii="Palatino Linotype" w:hAnsi="Palatino Linotype"/>
                <w:noProof/>
              </w:rPr>
              <w:t>A.</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Institutional Capacity</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_Toc525550487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7</w:t>
            </w:r>
            <w:r w:rsidR="006377E9" w:rsidRPr="00DA5DAF">
              <w:rPr>
                <w:rFonts w:ascii="Palatino Linotype" w:hAnsi="Palatino Linotype"/>
                <w:noProof/>
                <w:webHidden/>
              </w:rPr>
              <w:fldChar w:fldCharType="end"/>
            </w:r>
          </w:hyperlink>
        </w:p>
        <w:p w14:paraId="6AAFBF78" w14:textId="1827C083"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8" w:history="1">
            <w:r w:rsidR="006377E9" w:rsidRPr="00DA5DAF">
              <w:rPr>
                <w:rStyle w:val="Hyperlink"/>
                <w:rFonts w:ascii="Palatino Linotype" w:hAnsi="Palatino Linotype"/>
                <w:noProof/>
              </w:rPr>
              <w:t>B.</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Key Steps Taken at Program Level</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_Toc525550488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8</w:t>
            </w:r>
            <w:r w:rsidR="006377E9" w:rsidRPr="00DA5DAF">
              <w:rPr>
                <w:rFonts w:ascii="Palatino Linotype" w:hAnsi="Palatino Linotype"/>
                <w:noProof/>
                <w:webHidden/>
              </w:rPr>
              <w:fldChar w:fldCharType="end"/>
            </w:r>
          </w:hyperlink>
        </w:p>
        <w:p w14:paraId="735160AB" w14:textId="5308B759"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89" w:history="1">
            <w:r w:rsidR="006377E9" w:rsidRPr="00DA5DAF">
              <w:rPr>
                <w:rStyle w:val="Hyperlink"/>
                <w:rFonts w:ascii="Palatino Linotype" w:hAnsi="Palatino Linotype"/>
                <w:noProof/>
              </w:rPr>
              <w:t>C.</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Strengths and Weakness at the College Level</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_Toc525550489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8</w:t>
            </w:r>
            <w:r w:rsidR="006377E9" w:rsidRPr="00DA5DAF">
              <w:rPr>
                <w:rFonts w:ascii="Palatino Linotype" w:hAnsi="Palatino Linotype"/>
                <w:noProof/>
                <w:webHidden/>
              </w:rPr>
              <w:fldChar w:fldCharType="end"/>
            </w:r>
          </w:hyperlink>
        </w:p>
        <w:p w14:paraId="13F6668D" w14:textId="7F4518B0" w:rsidR="006377E9" w:rsidRPr="00DA5DAF" w:rsidRDefault="00A21D7C">
          <w:pPr>
            <w:pStyle w:val="TOC1"/>
            <w:tabs>
              <w:tab w:val="left" w:pos="660"/>
              <w:tab w:val="right" w:leader="dot" w:pos="9350"/>
            </w:tabs>
            <w:rPr>
              <w:rFonts w:ascii="Palatino Linotype" w:eastAsiaTheme="minorEastAsia" w:hAnsi="Palatino Linotype"/>
              <w:noProof/>
            </w:rPr>
          </w:pPr>
          <w:hyperlink w:anchor="_Toc525550490" w:history="1">
            <w:r w:rsidR="006377E9" w:rsidRPr="00DA5DAF">
              <w:rPr>
                <w:rStyle w:val="Hyperlink"/>
                <w:rFonts w:ascii="Palatino Linotype" w:hAnsi="Palatino Linotype"/>
                <w:noProof/>
              </w:rPr>
              <w:t>IV.</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Participant Impacts and Outcomes</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_Toc525550490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9</w:t>
            </w:r>
            <w:r w:rsidR="006377E9" w:rsidRPr="00DA5DAF">
              <w:rPr>
                <w:rFonts w:ascii="Palatino Linotype" w:hAnsi="Palatino Linotype"/>
                <w:noProof/>
                <w:webHidden/>
              </w:rPr>
              <w:fldChar w:fldCharType="end"/>
            </w:r>
          </w:hyperlink>
        </w:p>
        <w:p w14:paraId="6EC8EE62" w14:textId="2A5E1A65"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91" w:history="1">
            <w:r w:rsidR="006377E9" w:rsidRPr="00DA5DAF">
              <w:rPr>
                <w:rStyle w:val="Hyperlink"/>
                <w:rFonts w:ascii="Palatino Linotype" w:hAnsi="Palatino Linotype"/>
                <w:noProof/>
              </w:rPr>
              <w:t>A.</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Limitations of Study</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_Toc525550491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11</w:t>
            </w:r>
            <w:r w:rsidR="006377E9" w:rsidRPr="00DA5DAF">
              <w:rPr>
                <w:rFonts w:ascii="Palatino Linotype" w:hAnsi="Palatino Linotype"/>
                <w:noProof/>
                <w:webHidden/>
              </w:rPr>
              <w:fldChar w:fldCharType="end"/>
            </w:r>
          </w:hyperlink>
        </w:p>
        <w:p w14:paraId="2D6E2A87" w14:textId="3A2ABE3B" w:rsidR="006377E9" w:rsidRPr="00DA5DAF" w:rsidRDefault="00A21D7C">
          <w:pPr>
            <w:pStyle w:val="TOC1"/>
            <w:tabs>
              <w:tab w:val="left" w:pos="440"/>
              <w:tab w:val="right" w:leader="dot" w:pos="9350"/>
            </w:tabs>
            <w:rPr>
              <w:rFonts w:ascii="Palatino Linotype" w:eastAsiaTheme="minorEastAsia" w:hAnsi="Palatino Linotype"/>
              <w:noProof/>
            </w:rPr>
          </w:pPr>
          <w:hyperlink w:anchor="_Toc525550492" w:history="1">
            <w:r w:rsidR="006377E9" w:rsidRPr="00DA5DAF">
              <w:rPr>
                <w:rStyle w:val="Hyperlink"/>
                <w:rFonts w:ascii="Palatino Linotype" w:hAnsi="Palatino Linotype"/>
                <w:noProof/>
              </w:rPr>
              <w:t>V.</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Conclusions</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_Toc525550492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12</w:t>
            </w:r>
            <w:r w:rsidR="006377E9" w:rsidRPr="00DA5DAF">
              <w:rPr>
                <w:rFonts w:ascii="Palatino Linotype" w:hAnsi="Palatino Linotype"/>
                <w:noProof/>
                <w:webHidden/>
              </w:rPr>
              <w:fldChar w:fldCharType="end"/>
            </w:r>
          </w:hyperlink>
        </w:p>
        <w:p w14:paraId="76623982" w14:textId="26E2C0CB"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93" w:history="1">
            <w:r w:rsidR="006377E9" w:rsidRPr="00DA5DAF">
              <w:rPr>
                <w:rStyle w:val="Hyperlink"/>
                <w:rFonts w:ascii="Palatino Linotype" w:hAnsi="Palatino Linotype"/>
                <w:noProof/>
              </w:rPr>
              <w:t>A.</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Key Lessons for Replication</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_Toc525550493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12</w:t>
            </w:r>
            <w:r w:rsidR="006377E9" w:rsidRPr="00DA5DAF">
              <w:rPr>
                <w:rFonts w:ascii="Palatino Linotype" w:hAnsi="Palatino Linotype"/>
                <w:noProof/>
                <w:webHidden/>
              </w:rPr>
              <w:fldChar w:fldCharType="end"/>
            </w:r>
          </w:hyperlink>
        </w:p>
        <w:p w14:paraId="31452078" w14:textId="11980E92" w:rsidR="006377E9" w:rsidRPr="00DA5DAF" w:rsidRDefault="00A21D7C">
          <w:pPr>
            <w:pStyle w:val="TOC2"/>
            <w:tabs>
              <w:tab w:val="left" w:pos="660"/>
              <w:tab w:val="right" w:leader="dot" w:pos="9350"/>
            </w:tabs>
            <w:rPr>
              <w:rFonts w:ascii="Palatino Linotype" w:eastAsiaTheme="minorEastAsia" w:hAnsi="Palatino Linotype"/>
              <w:noProof/>
            </w:rPr>
          </w:pPr>
          <w:hyperlink w:anchor="_Toc525550494" w:history="1">
            <w:r w:rsidR="006377E9" w:rsidRPr="00DA5DAF">
              <w:rPr>
                <w:rStyle w:val="Hyperlink"/>
                <w:rFonts w:ascii="Palatino Linotype" w:hAnsi="Palatino Linotype"/>
                <w:noProof/>
              </w:rPr>
              <w:t>B.</w:t>
            </w:r>
            <w:r w:rsidR="006377E9" w:rsidRPr="00DA5DAF">
              <w:rPr>
                <w:rFonts w:ascii="Palatino Linotype" w:eastAsiaTheme="minorEastAsia" w:hAnsi="Palatino Linotype"/>
                <w:noProof/>
              </w:rPr>
              <w:tab/>
            </w:r>
            <w:r w:rsidR="006377E9" w:rsidRPr="00DA5DAF">
              <w:rPr>
                <w:rStyle w:val="Hyperlink"/>
                <w:rFonts w:ascii="Palatino Linotype" w:hAnsi="Palatino Linotype"/>
                <w:noProof/>
              </w:rPr>
              <w:t>Next Steps for Research</w:t>
            </w:r>
            <w:r w:rsidR="006377E9" w:rsidRPr="00DA5DAF">
              <w:rPr>
                <w:rFonts w:ascii="Palatino Linotype" w:hAnsi="Palatino Linotype"/>
                <w:noProof/>
                <w:webHidden/>
              </w:rPr>
              <w:tab/>
            </w:r>
            <w:r w:rsidR="006377E9" w:rsidRPr="00DA5DAF">
              <w:rPr>
                <w:rFonts w:ascii="Palatino Linotype" w:hAnsi="Palatino Linotype"/>
                <w:noProof/>
                <w:webHidden/>
              </w:rPr>
              <w:fldChar w:fldCharType="begin"/>
            </w:r>
            <w:r w:rsidR="006377E9" w:rsidRPr="00DA5DAF">
              <w:rPr>
                <w:rFonts w:ascii="Palatino Linotype" w:hAnsi="Palatino Linotype"/>
                <w:noProof/>
                <w:webHidden/>
              </w:rPr>
              <w:instrText xml:space="preserve"> PAGEREF _Toc525550494 \h </w:instrText>
            </w:r>
            <w:r w:rsidR="006377E9" w:rsidRPr="00DA5DAF">
              <w:rPr>
                <w:rFonts w:ascii="Palatino Linotype" w:hAnsi="Palatino Linotype"/>
                <w:noProof/>
                <w:webHidden/>
              </w:rPr>
            </w:r>
            <w:r w:rsidR="006377E9" w:rsidRPr="00DA5DAF">
              <w:rPr>
                <w:rFonts w:ascii="Palatino Linotype" w:hAnsi="Palatino Linotype"/>
                <w:noProof/>
                <w:webHidden/>
              </w:rPr>
              <w:fldChar w:fldCharType="separate"/>
            </w:r>
            <w:r w:rsidR="00DA5DAF">
              <w:rPr>
                <w:rFonts w:ascii="Palatino Linotype" w:hAnsi="Palatino Linotype"/>
                <w:noProof/>
                <w:webHidden/>
              </w:rPr>
              <w:t>13</w:t>
            </w:r>
            <w:r w:rsidR="006377E9" w:rsidRPr="00DA5DAF">
              <w:rPr>
                <w:rFonts w:ascii="Palatino Linotype" w:hAnsi="Palatino Linotype"/>
                <w:noProof/>
                <w:webHidden/>
              </w:rPr>
              <w:fldChar w:fldCharType="end"/>
            </w:r>
          </w:hyperlink>
        </w:p>
        <w:p w14:paraId="525EDFC1" w14:textId="2B33659B" w:rsidR="002A6260" w:rsidRDefault="002A6260">
          <w:r w:rsidRPr="00B870C7">
            <w:rPr>
              <w:rFonts w:ascii="Palatino Linotype" w:hAnsi="Palatino Linotype"/>
              <w:b/>
              <w:bCs/>
              <w:noProof/>
            </w:rPr>
            <w:fldChar w:fldCharType="end"/>
          </w:r>
        </w:p>
      </w:sdtContent>
    </w:sdt>
    <w:p w14:paraId="57DC0C7C" w14:textId="2FD7D06F" w:rsidR="00D01306" w:rsidRDefault="00D01306">
      <w:pPr>
        <w:rPr>
          <w:rFonts w:ascii="Palatino Linotype" w:hAnsi="Palatino Linotype"/>
          <w:b/>
        </w:rPr>
      </w:pPr>
      <w:r>
        <w:rPr>
          <w:rFonts w:ascii="Palatino Linotype" w:hAnsi="Palatino Linotype"/>
          <w:b/>
        </w:rPr>
        <w:br w:type="page"/>
      </w:r>
    </w:p>
    <w:p w14:paraId="00501396" w14:textId="77777777" w:rsidR="006377E9" w:rsidRDefault="006377E9" w:rsidP="006377E9">
      <w:pPr>
        <w:spacing w:after="0" w:line="240" w:lineRule="auto"/>
        <w:rPr>
          <w:rFonts w:ascii="Palatino Linotype" w:hAnsi="Palatino Linotype"/>
          <w:b/>
        </w:rPr>
        <w:sectPr w:rsidR="006377E9">
          <w:footerReference w:type="default" r:id="rId13"/>
          <w:pgSz w:w="12240" w:h="15840"/>
          <w:pgMar w:top="1440" w:right="1440" w:bottom="1440" w:left="1440" w:header="720" w:footer="720" w:gutter="0"/>
          <w:cols w:space="720"/>
          <w:docGrid w:linePitch="360"/>
        </w:sectPr>
      </w:pPr>
    </w:p>
    <w:p w14:paraId="10C4A24A" w14:textId="18333A4B" w:rsidR="004568C1" w:rsidRDefault="00D01306" w:rsidP="006377E9">
      <w:pPr>
        <w:spacing w:after="0" w:line="240" w:lineRule="auto"/>
        <w:rPr>
          <w:rFonts w:ascii="Palatino Linotype" w:hAnsi="Palatino Linotype"/>
          <w:b/>
        </w:rPr>
      </w:pPr>
      <w:r w:rsidRPr="00B3418A">
        <w:rPr>
          <w:rFonts w:ascii="Palatino Linotype" w:hAnsi="Palatino Linotype"/>
          <w:b/>
        </w:rPr>
        <w:lastRenderedPageBreak/>
        <w:t>TAACCCT Program/Intervention Description and Activities</w:t>
      </w:r>
    </w:p>
    <w:p w14:paraId="28C56236" w14:textId="77777777" w:rsidR="006377E9" w:rsidRPr="00B3418A" w:rsidRDefault="006377E9" w:rsidP="006377E9">
      <w:pPr>
        <w:spacing w:after="0" w:line="240" w:lineRule="auto"/>
        <w:rPr>
          <w:rFonts w:ascii="Palatino Linotype" w:hAnsi="Palatino Linotype"/>
          <w:b/>
        </w:rPr>
      </w:pPr>
    </w:p>
    <w:p w14:paraId="6E1A5380" w14:textId="2BEFE1E5" w:rsidR="00D01306" w:rsidRDefault="00D01306" w:rsidP="006377E9">
      <w:pPr>
        <w:pStyle w:val="Heading1"/>
        <w:numPr>
          <w:ilvl w:val="0"/>
          <w:numId w:val="3"/>
        </w:numPr>
      </w:pPr>
      <w:bookmarkStart w:id="1" w:name="_Toc514318056"/>
      <w:bookmarkStart w:id="2" w:name="_Toc525550478"/>
      <w:r w:rsidRPr="00B3418A">
        <w:t>Project and Purpose</w:t>
      </w:r>
      <w:bookmarkEnd w:id="1"/>
      <w:bookmarkEnd w:id="2"/>
    </w:p>
    <w:p w14:paraId="2CB9DCA5" w14:textId="77777777" w:rsidR="00A85706" w:rsidRPr="00A85706" w:rsidRDefault="00A85706" w:rsidP="006377E9">
      <w:pPr>
        <w:spacing w:after="0" w:line="240" w:lineRule="auto"/>
      </w:pPr>
    </w:p>
    <w:p w14:paraId="08F5EEF2" w14:textId="29914B4E" w:rsidR="00142141" w:rsidRPr="007A3B72" w:rsidRDefault="0047053F" w:rsidP="006377E9">
      <w:pPr>
        <w:pStyle w:val="NoSpacing"/>
        <w:rPr>
          <w:rFonts w:ascii="Palatino Linotype" w:hAnsi="Palatino Linotype"/>
        </w:rPr>
      </w:pPr>
      <w:r w:rsidRPr="007A3B72">
        <w:rPr>
          <w:rFonts w:ascii="Palatino Linotype" w:hAnsi="Palatino Linotype"/>
        </w:rPr>
        <w:t>The overarching goal of the NJ-PREP consortium in proposing the TAACCCT project was to continue elements of a previous HPOG grant and build on and scale promising practices from that project</w:t>
      </w:r>
      <w:r w:rsidR="00B870C7" w:rsidRPr="007A3B72">
        <w:rPr>
          <w:rFonts w:ascii="Palatino Linotype" w:hAnsi="Palatino Linotype"/>
        </w:rPr>
        <w:t xml:space="preserve"> with a focus on career pathways development</w:t>
      </w:r>
      <w:r w:rsidRPr="007A3B72">
        <w:rPr>
          <w:rFonts w:ascii="Palatino Linotype" w:hAnsi="Palatino Linotype"/>
        </w:rPr>
        <w:t>. Areas of improvement were identified</w:t>
      </w:r>
      <w:r w:rsidR="00A85706" w:rsidRPr="007A3B72">
        <w:rPr>
          <w:rFonts w:ascii="Palatino Linotype" w:hAnsi="Palatino Linotype"/>
        </w:rPr>
        <w:t>,</w:t>
      </w:r>
      <w:r w:rsidRPr="007A3B72">
        <w:rPr>
          <w:rFonts w:ascii="Palatino Linotype" w:hAnsi="Palatino Linotype"/>
        </w:rPr>
        <w:t xml:space="preserve"> and strategies were planned to move </w:t>
      </w:r>
      <w:r w:rsidR="00A85706" w:rsidRPr="007A3B72">
        <w:rPr>
          <w:rFonts w:ascii="Palatino Linotype" w:hAnsi="Palatino Linotype"/>
        </w:rPr>
        <w:t xml:space="preserve">toward the </w:t>
      </w:r>
      <w:r w:rsidR="00A410D5" w:rsidRPr="007A3B72">
        <w:rPr>
          <w:rFonts w:ascii="Palatino Linotype" w:hAnsi="Palatino Linotype"/>
        </w:rPr>
        <w:t xml:space="preserve">broader goal of creating the college infrastructure required to prepare people for the healthcare workforce by developing career pathways into the health professions. </w:t>
      </w:r>
      <w:r w:rsidR="00531D5E" w:rsidRPr="007A3B72">
        <w:rPr>
          <w:rFonts w:ascii="Palatino Linotype" w:hAnsi="Palatino Linotype"/>
        </w:rPr>
        <w:t>Under the NJ-PREP TAACCCT grant, the twelve consortium partners</w:t>
      </w:r>
      <w:r w:rsidRPr="007A3B72">
        <w:rPr>
          <w:rFonts w:ascii="Palatino Linotype" w:hAnsi="Palatino Linotype"/>
        </w:rPr>
        <w:t xml:space="preserve"> prioritized their efforts on four primary strategies: </w:t>
      </w:r>
      <w:r w:rsidR="00142141" w:rsidRPr="007A3B72">
        <w:rPr>
          <w:rFonts w:ascii="Palatino Linotype" w:hAnsi="Palatino Linotype"/>
        </w:rPr>
        <w:t>1) Accelerate time to program completion for TAA and other adults by creating flexible, innovative, and well-articulated pathways towards high-skill, high-wage healthcare career opportunities; 2) Effectively engage employers, workforce systems, and industry associations in all aspects of program design, development and implementation so skills and competencies align with employer expectations; 3) Integrate the effective use of technology in ways that will engage participants in their learning while improving overall levels of program retention and completion and that prepares participants for further learning and high-skill, high-wage employment; and 4) create a supportive system for assisting adults in succeeding in their programs of study and transitioning towards high-skill, high-wage healthcare employment.</w:t>
      </w:r>
    </w:p>
    <w:p w14:paraId="229BCFB8" w14:textId="77777777" w:rsidR="007A3B72" w:rsidRDefault="007A3B72" w:rsidP="007A3B72">
      <w:pPr>
        <w:pStyle w:val="NoSpacing"/>
        <w:rPr>
          <w:rFonts w:ascii="Palatino Linotype" w:hAnsi="Palatino Linotype"/>
          <w:b/>
          <w:i/>
        </w:rPr>
      </w:pPr>
    </w:p>
    <w:p w14:paraId="6F55C0B9" w14:textId="3F68629C" w:rsidR="00531D5E" w:rsidRPr="007A3B72" w:rsidRDefault="00531D5E" w:rsidP="007A3B72">
      <w:pPr>
        <w:pStyle w:val="NoSpacing"/>
        <w:rPr>
          <w:rFonts w:ascii="Palatino Linotype" w:hAnsi="Palatino Linotype"/>
        </w:rPr>
      </w:pPr>
      <w:r w:rsidRPr="007A3B72">
        <w:rPr>
          <w:rFonts w:ascii="Palatino Linotype" w:hAnsi="Palatino Linotype"/>
          <w:b/>
          <w:i/>
        </w:rPr>
        <w:t>Accelerate time to completion.</w:t>
      </w:r>
      <w:r w:rsidRPr="007A3B72">
        <w:rPr>
          <w:rFonts w:ascii="Palatino Linotype" w:hAnsi="Palatino Linotype"/>
        </w:rPr>
        <w:t xml:space="preserve"> Among its strategies, the college partners </w:t>
      </w:r>
      <w:r w:rsidR="00A85706" w:rsidRPr="007A3B72">
        <w:rPr>
          <w:rFonts w:ascii="Palatino Linotype" w:hAnsi="Palatino Linotype"/>
        </w:rPr>
        <w:t>planned to</w:t>
      </w:r>
      <w:r w:rsidRPr="007A3B72">
        <w:rPr>
          <w:rFonts w:ascii="Palatino Linotype" w:hAnsi="Palatino Linotype"/>
        </w:rPr>
        <w:t xml:space="preserve"> standardize their approaches to prior learning assessment; develop or enhan</w:t>
      </w:r>
      <w:r w:rsidR="00A410D5" w:rsidRPr="007A3B72">
        <w:rPr>
          <w:rFonts w:ascii="Palatino Linotype" w:hAnsi="Palatino Linotype"/>
        </w:rPr>
        <w:t>ce</w:t>
      </w:r>
      <w:r w:rsidRPr="007A3B72">
        <w:rPr>
          <w:rFonts w:ascii="Palatino Linotype" w:hAnsi="Palatino Linotype"/>
        </w:rPr>
        <w:t xml:space="preserve"> healthcare training programs that </w:t>
      </w:r>
      <w:r w:rsidR="00A85706" w:rsidRPr="007A3B72">
        <w:rPr>
          <w:rFonts w:ascii="Palatino Linotype" w:hAnsi="Palatino Linotype"/>
        </w:rPr>
        <w:t>could</w:t>
      </w:r>
      <w:r w:rsidRPr="007A3B72">
        <w:rPr>
          <w:rFonts w:ascii="Palatino Linotype" w:hAnsi="Palatino Linotype"/>
        </w:rPr>
        <w:t xml:space="preserve"> be shared regionally while addressing gaps in regional healthcare training and curriculum; and integrate innovative technology in ways that address the remedial skill needs of TAA</w:t>
      </w:r>
      <w:r w:rsidR="00A410D5" w:rsidRPr="007A3B72">
        <w:rPr>
          <w:rFonts w:ascii="Palatino Linotype" w:hAnsi="Palatino Linotype"/>
        </w:rPr>
        <w:t>CCCT students</w:t>
      </w:r>
      <w:r w:rsidRPr="007A3B72">
        <w:rPr>
          <w:rFonts w:ascii="Palatino Linotype" w:hAnsi="Palatino Linotype"/>
        </w:rPr>
        <w:t>, thereby reducing the time to program completion.</w:t>
      </w:r>
    </w:p>
    <w:p w14:paraId="1935A5BB" w14:textId="77777777" w:rsidR="007A3B72" w:rsidRDefault="007A3B72" w:rsidP="007A3B72">
      <w:pPr>
        <w:pStyle w:val="NoSpacing"/>
        <w:rPr>
          <w:rFonts w:ascii="Palatino Linotype" w:hAnsi="Palatino Linotype"/>
          <w:b/>
          <w:i/>
        </w:rPr>
      </w:pPr>
    </w:p>
    <w:p w14:paraId="2C7AE6A5" w14:textId="4E7C7F8A" w:rsidR="00531D5E" w:rsidRPr="007A3B72" w:rsidRDefault="00531D5E" w:rsidP="007A3B72">
      <w:pPr>
        <w:pStyle w:val="NoSpacing"/>
        <w:rPr>
          <w:rFonts w:ascii="Palatino Linotype" w:hAnsi="Palatino Linotype"/>
        </w:rPr>
      </w:pPr>
      <w:r w:rsidRPr="007A3B72">
        <w:rPr>
          <w:rFonts w:ascii="Palatino Linotype" w:hAnsi="Palatino Linotype"/>
          <w:b/>
          <w:i/>
        </w:rPr>
        <w:t>Effectively engage employers, workforce systems, and industry associations.</w:t>
      </w:r>
      <w:r w:rsidRPr="007A3B72">
        <w:rPr>
          <w:rFonts w:ascii="Palatino Linotype" w:hAnsi="Palatino Linotype"/>
        </w:rPr>
        <w:t xml:space="preserve"> </w:t>
      </w:r>
      <w:r w:rsidR="00502330" w:rsidRPr="007A3B72">
        <w:rPr>
          <w:rFonts w:ascii="Palatino Linotype" w:hAnsi="Palatino Linotype"/>
        </w:rPr>
        <w:t>E</w:t>
      </w:r>
      <w:r w:rsidRPr="007A3B72">
        <w:rPr>
          <w:rFonts w:ascii="Palatino Linotype" w:hAnsi="Palatino Linotype"/>
        </w:rPr>
        <w:t xml:space="preserve">mployers, Workforce Investment Boards (WIBs), and industry associations </w:t>
      </w:r>
      <w:r w:rsidR="00A85706" w:rsidRPr="007A3B72">
        <w:rPr>
          <w:rFonts w:ascii="Palatino Linotype" w:hAnsi="Palatino Linotype"/>
        </w:rPr>
        <w:t>planned to</w:t>
      </w:r>
      <w:r w:rsidRPr="007A3B72">
        <w:rPr>
          <w:rFonts w:ascii="Palatino Linotype" w:hAnsi="Palatino Linotype"/>
        </w:rPr>
        <w:t xml:space="preserve"> partner with the colleges on better preparing individuals for healthcare occupations by offering work-based learning experiences; participating in curricular review; ensuring that program outcomes </w:t>
      </w:r>
      <w:r w:rsidR="00A85706" w:rsidRPr="007A3B72">
        <w:rPr>
          <w:rFonts w:ascii="Palatino Linotype" w:hAnsi="Palatino Linotype"/>
        </w:rPr>
        <w:t>are</w:t>
      </w:r>
      <w:r w:rsidRPr="007A3B72">
        <w:rPr>
          <w:rFonts w:ascii="Palatino Linotype" w:hAnsi="Palatino Linotype"/>
        </w:rPr>
        <w:t xml:space="preserve"> consistent with the skills required of employees; serving on the Consortium Leadership Council; and ensuring that credentials are transportable. </w:t>
      </w:r>
    </w:p>
    <w:p w14:paraId="05B7AB09" w14:textId="77777777" w:rsidR="007A3B72" w:rsidRDefault="007A3B72" w:rsidP="007A3B72">
      <w:pPr>
        <w:pStyle w:val="NoSpacing"/>
        <w:rPr>
          <w:rFonts w:ascii="Palatino Linotype" w:hAnsi="Palatino Linotype"/>
          <w:b/>
          <w:i/>
        </w:rPr>
      </w:pPr>
    </w:p>
    <w:p w14:paraId="0C3F0F20" w14:textId="3A23AD2F" w:rsidR="00531D5E" w:rsidRPr="007A3B72" w:rsidRDefault="00531D5E" w:rsidP="007A3B72">
      <w:pPr>
        <w:pStyle w:val="NoSpacing"/>
        <w:rPr>
          <w:rFonts w:ascii="Palatino Linotype" w:hAnsi="Palatino Linotype"/>
        </w:rPr>
      </w:pPr>
      <w:r w:rsidRPr="007A3B72">
        <w:rPr>
          <w:rFonts w:ascii="Palatino Linotype" w:hAnsi="Palatino Linotype"/>
          <w:b/>
          <w:i/>
        </w:rPr>
        <w:t>Integrate the effective use of technology.</w:t>
      </w:r>
      <w:r w:rsidRPr="007A3B72">
        <w:rPr>
          <w:rFonts w:ascii="Palatino Linotype" w:hAnsi="Palatino Linotype"/>
        </w:rPr>
        <w:t xml:space="preserve"> </w:t>
      </w:r>
      <w:r w:rsidR="00A85706" w:rsidRPr="007A3B72">
        <w:rPr>
          <w:rFonts w:ascii="Palatino Linotype" w:hAnsi="Palatino Linotype"/>
        </w:rPr>
        <w:t>The consortium planned to implement EdReady, an e</w:t>
      </w:r>
      <w:r w:rsidRPr="007A3B72">
        <w:rPr>
          <w:rFonts w:ascii="Palatino Linotype" w:hAnsi="Palatino Linotype"/>
        </w:rPr>
        <w:t>ducational technology product</w:t>
      </w:r>
      <w:r w:rsidR="00A85706" w:rsidRPr="007A3B72">
        <w:rPr>
          <w:rFonts w:ascii="Palatino Linotype" w:hAnsi="Palatino Linotype"/>
        </w:rPr>
        <w:t>,</w:t>
      </w:r>
      <w:r w:rsidRPr="007A3B72">
        <w:rPr>
          <w:rFonts w:ascii="Palatino Linotype" w:hAnsi="Palatino Linotype"/>
        </w:rPr>
        <w:t xml:space="preserve"> in helping at-risk students overcome their basic skills deficiencies and go onto earn their postsecondary credentials. The partner colleges </w:t>
      </w:r>
      <w:r w:rsidR="00A85706" w:rsidRPr="007A3B72">
        <w:rPr>
          <w:rFonts w:ascii="Palatino Linotype" w:hAnsi="Palatino Linotype"/>
        </w:rPr>
        <w:t xml:space="preserve">planned to institute the </w:t>
      </w:r>
      <w:r w:rsidRPr="007A3B72">
        <w:rPr>
          <w:rFonts w:ascii="Palatino Linotype" w:hAnsi="Palatino Linotype"/>
        </w:rPr>
        <w:t>technology into a common pathways orientation program known as Smart Start t</w:t>
      </w:r>
      <w:r w:rsidR="00A85706" w:rsidRPr="007A3B72">
        <w:rPr>
          <w:rFonts w:ascii="Palatino Linotype" w:hAnsi="Palatino Linotype"/>
        </w:rPr>
        <w:t>o</w:t>
      </w:r>
      <w:r w:rsidRPr="007A3B72">
        <w:rPr>
          <w:rFonts w:ascii="Palatino Linotype" w:hAnsi="Palatino Linotype"/>
        </w:rPr>
        <w:t xml:space="preserve"> prepare individuals for enrolling and succeeding in their programs of study. </w:t>
      </w:r>
      <w:r w:rsidR="00A85706" w:rsidRPr="007A3B72">
        <w:rPr>
          <w:rFonts w:ascii="Palatino Linotype" w:hAnsi="Palatino Linotype"/>
        </w:rPr>
        <w:t xml:space="preserve">Other technology proposed included </w:t>
      </w:r>
      <w:r w:rsidRPr="007A3B72">
        <w:rPr>
          <w:rFonts w:ascii="Palatino Linotype" w:hAnsi="Palatino Linotype"/>
        </w:rPr>
        <w:t>Smart Sparrow adaptive learning systems, digital tutors, and medical simulations into new and enhanced courses.</w:t>
      </w:r>
    </w:p>
    <w:p w14:paraId="30942F28" w14:textId="77777777" w:rsidR="007A3B72" w:rsidRDefault="007A3B72" w:rsidP="007A3B72">
      <w:pPr>
        <w:pStyle w:val="NoSpacing"/>
        <w:rPr>
          <w:rFonts w:ascii="Palatino Linotype" w:hAnsi="Palatino Linotype"/>
          <w:b/>
          <w:i/>
        </w:rPr>
      </w:pPr>
    </w:p>
    <w:p w14:paraId="3551300A" w14:textId="72292C44" w:rsidR="00531D5E" w:rsidRPr="007A3B72" w:rsidRDefault="00531D5E" w:rsidP="007A3B72">
      <w:pPr>
        <w:pStyle w:val="NoSpacing"/>
        <w:rPr>
          <w:rFonts w:ascii="Palatino Linotype" w:hAnsi="Palatino Linotype"/>
        </w:rPr>
      </w:pPr>
      <w:r w:rsidRPr="007A3B72">
        <w:rPr>
          <w:rFonts w:ascii="Palatino Linotype" w:hAnsi="Palatino Linotype"/>
          <w:b/>
          <w:i/>
        </w:rPr>
        <w:lastRenderedPageBreak/>
        <w:t>Create supportive systems.</w:t>
      </w:r>
      <w:r w:rsidRPr="007A3B72">
        <w:rPr>
          <w:rFonts w:ascii="Palatino Linotype" w:hAnsi="Palatino Linotype"/>
        </w:rPr>
        <w:t xml:space="preserve"> A strong career awareness component </w:t>
      </w:r>
      <w:r w:rsidR="00A85706" w:rsidRPr="007A3B72">
        <w:rPr>
          <w:rFonts w:ascii="Palatino Linotype" w:hAnsi="Palatino Linotype"/>
        </w:rPr>
        <w:t xml:space="preserve">was planned to </w:t>
      </w:r>
      <w:r w:rsidRPr="007A3B72">
        <w:rPr>
          <w:rFonts w:ascii="Palatino Linotype" w:hAnsi="Palatino Linotype"/>
        </w:rPr>
        <w:t xml:space="preserve">be developed and expanded across the partnership. </w:t>
      </w:r>
      <w:r w:rsidR="00A85706" w:rsidRPr="007A3B72">
        <w:rPr>
          <w:rFonts w:ascii="Palatino Linotype" w:hAnsi="Palatino Linotype"/>
        </w:rPr>
        <w:t>The idea was that students would</w:t>
      </w:r>
      <w:r w:rsidRPr="007A3B72">
        <w:rPr>
          <w:rFonts w:ascii="Palatino Linotype" w:hAnsi="Palatino Linotype"/>
        </w:rPr>
        <w:t xml:space="preserve"> enroll in their programs of study having already considered future opportunities and how the program in which they are enrolled </w:t>
      </w:r>
      <w:r w:rsidR="00A85706" w:rsidRPr="007A3B72">
        <w:rPr>
          <w:rFonts w:ascii="Palatino Linotype" w:hAnsi="Palatino Linotype"/>
        </w:rPr>
        <w:t>would</w:t>
      </w:r>
      <w:r w:rsidRPr="007A3B72">
        <w:rPr>
          <w:rFonts w:ascii="Palatino Linotype" w:hAnsi="Palatino Linotype"/>
        </w:rPr>
        <w:t xml:space="preserve"> prepare them for the next step on the career ladder. Moreover, through case management, the industry-sector coaches and advisors </w:t>
      </w:r>
      <w:r w:rsidR="00A85706" w:rsidRPr="007A3B72">
        <w:rPr>
          <w:rFonts w:ascii="Palatino Linotype" w:hAnsi="Palatino Linotype"/>
        </w:rPr>
        <w:t>would</w:t>
      </w:r>
      <w:r w:rsidRPr="007A3B72">
        <w:rPr>
          <w:rFonts w:ascii="Palatino Linotype" w:hAnsi="Palatino Linotype"/>
        </w:rPr>
        <w:t xml:space="preserve"> give participants the support they need to complete their programs of study.</w:t>
      </w:r>
    </w:p>
    <w:p w14:paraId="54AE5F9F" w14:textId="77777777" w:rsidR="007A3B72" w:rsidRDefault="007A3B72" w:rsidP="007A3B72">
      <w:pPr>
        <w:pStyle w:val="NoSpacing"/>
        <w:rPr>
          <w:rFonts w:ascii="Palatino Linotype" w:hAnsi="Palatino Linotype" w:cs="PalatinoLinotype-BoldItalic"/>
          <w:bCs/>
          <w:iCs/>
        </w:rPr>
      </w:pPr>
    </w:p>
    <w:p w14:paraId="12716B50" w14:textId="40972C1B" w:rsidR="00A85706" w:rsidRDefault="00A85706" w:rsidP="007A3B72">
      <w:pPr>
        <w:pStyle w:val="NoSpacing"/>
        <w:rPr>
          <w:rFonts w:ascii="Palatino Linotype" w:hAnsi="Palatino Linotype" w:cs="PalatinoLinotype-BoldItalic"/>
          <w:bCs/>
          <w:iCs/>
        </w:rPr>
      </w:pPr>
      <w:r w:rsidRPr="007A3B72">
        <w:rPr>
          <w:rFonts w:ascii="Palatino Linotype" w:hAnsi="Palatino Linotype" w:cs="PalatinoLinotype-BoldItalic"/>
          <w:bCs/>
          <w:iCs/>
        </w:rPr>
        <w:t xml:space="preserve">These four strategies were implemented across the NJ-PREP consortium with varying degrees of effectiveness. </w:t>
      </w:r>
    </w:p>
    <w:p w14:paraId="0283DD61" w14:textId="77777777" w:rsidR="007A3B72" w:rsidRPr="007A3B72" w:rsidRDefault="007A3B72" w:rsidP="007A3B72">
      <w:pPr>
        <w:pStyle w:val="NoSpacing"/>
        <w:rPr>
          <w:rFonts w:ascii="Palatino Linotype" w:hAnsi="Palatino Linotype" w:cs="PalatinoLinotype-BoldItalic"/>
          <w:bCs/>
          <w:iCs/>
        </w:rPr>
      </w:pPr>
    </w:p>
    <w:p w14:paraId="33EE4521" w14:textId="4602B432" w:rsidR="00D01306" w:rsidRDefault="00D01306" w:rsidP="003B59FD">
      <w:pPr>
        <w:pStyle w:val="Heading2"/>
      </w:pPr>
      <w:bookmarkStart w:id="3" w:name="_Toc514318057"/>
      <w:bookmarkStart w:id="4" w:name="_Toc525550479"/>
      <w:r w:rsidRPr="00B3418A">
        <w:t>Interventions</w:t>
      </w:r>
      <w:bookmarkEnd w:id="3"/>
      <w:bookmarkEnd w:id="4"/>
    </w:p>
    <w:p w14:paraId="70C7B93A" w14:textId="77777777" w:rsidR="00B870C7" w:rsidRPr="00B870C7" w:rsidRDefault="00B870C7" w:rsidP="00B870C7">
      <w:pPr>
        <w:pStyle w:val="NoSpacing"/>
      </w:pPr>
    </w:p>
    <w:p w14:paraId="4C3396AB" w14:textId="59274E89" w:rsidR="00D01306" w:rsidRDefault="00D01306" w:rsidP="00D01306">
      <w:pPr>
        <w:rPr>
          <w:rFonts w:ascii="Palatino Linotype" w:hAnsi="Palatino Linotype"/>
        </w:rPr>
      </w:pPr>
      <w:r w:rsidRPr="00B3418A">
        <w:rPr>
          <w:rFonts w:ascii="Palatino Linotype" w:hAnsi="Palatino Linotype"/>
        </w:rPr>
        <w:t>Across the twelve consortium schools, the following interventions were evaluated:</w:t>
      </w:r>
    </w:p>
    <w:p w14:paraId="5BECE363" w14:textId="5F988AA8" w:rsidR="005F23DB" w:rsidRDefault="005F23DB" w:rsidP="005F23DB">
      <w:pPr>
        <w:pStyle w:val="TableHead"/>
      </w:pPr>
      <w:r>
        <w:t xml:space="preserve">Table </w:t>
      </w:r>
      <w:r w:rsidR="00D348ED">
        <w:t>1</w:t>
      </w:r>
      <w:r>
        <w:t>: Key TAACCCT Grant Activities and Major Program Strategies</w:t>
      </w:r>
    </w:p>
    <w:tbl>
      <w:tblPr>
        <w:tblStyle w:val="ListTable4-Accent21"/>
        <w:tblW w:w="9319" w:type="dxa"/>
        <w:jc w:val="center"/>
        <w:tblInd w:w="0" w:type="dxa"/>
        <w:tblLook w:val="04A0" w:firstRow="1" w:lastRow="0" w:firstColumn="1" w:lastColumn="0" w:noHBand="0" w:noVBand="1"/>
        <w:tblCaption w:val="Table 1: Key TAACCCT Grant activities and major program strategies"/>
        <w:tblDescription w:val="descriptions of activities and indication of where implemented across four major program strategies: pathways development, technology use, employer and workforce system engagement and student supports"/>
      </w:tblPr>
      <w:tblGrid>
        <w:gridCol w:w="4166"/>
        <w:gridCol w:w="1460"/>
        <w:gridCol w:w="1294"/>
        <w:gridCol w:w="1349"/>
        <w:gridCol w:w="1050"/>
      </w:tblGrid>
      <w:tr w:rsidR="005F23DB" w14:paraId="527A7AC4" w14:textId="77777777" w:rsidTr="00E0205C">
        <w:trPr>
          <w:cnfStyle w:val="100000000000" w:firstRow="1" w:lastRow="0" w:firstColumn="0" w:lastColumn="0" w:oddVBand="0" w:evenVBand="0" w:oddHBand="0" w:evenHBand="0" w:firstRowFirstColumn="0" w:firstRowLastColumn="0" w:lastRowFirstColumn="0" w:lastRowLastColumn="0"/>
          <w:trHeight w:val="1880"/>
          <w:tblHeader/>
          <w:jc w:val="center"/>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ED7D31" w:themeColor="accent2"/>
            </w:tcBorders>
            <w:vAlign w:val="center"/>
            <w:hideMark/>
          </w:tcPr>
          <w:p w14:paraId="3A562003" w14:textId="389085CE" w:rsidR="005F23DB" w:rsidRDefault="00E0205C">
            <w:pPr>
              <w:rPr>
                <w:rFonts w:ascii="Palatino Linotype" w:eastAsia="Times New Roman" w:hAnsi="Palatino Linotype"/>
                <w:color w:val="000000"/>
                <w:sz w:val="20"/>
                <w:szCs w:val="20"/>
              </w:rPr>
            </w:pPr>
            <w:r>
              <w:rPr>
                <w:rFonts w:ascii="Palatino Linotype" w:eastAsia="Times New Roman" w:hAnsi="Palatino Linotype"/>
                <w:color w:val="000000"/>
                <w:sz w:val="20"/>
                <w:szCs w:val="20"/>
              </w:rPr>
              <w:t>Activities</w:t>
            </w:r>
          </w:p>
        </w:tc>
        <w:tc>
          <w:tcPr>
            <w:tcW w:w="1170" w:type="dxa"/>
            <w:tcBorders>
              <w:left w:val="single" w:sz="4" w:space="0" w:color="ED7D31" w:themeColor="accent2"/>
              <w:right w:val="single" w:sz="4" w:space="0" w:color="ED7D31" w:themeColor="accent2"/>
            </w:tcBorders>
            <w:shd w:val="clear" w:color="auto" w:fill="F4B083" w:themeFill="accent2" w:themeFillTint="99"/>
            <w:vAlign w:val="center"/>
            <w:hideMark/>
          </w:tcPr>
          <w:p w14:paraId="1516E9A3" w14:textId="2C53DB12" w:rsidR="005F23DB" w:rsidRDefault="00E0205C">
            <w:pPr>
              <w:pStyle w:val="Table1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Major Program Strategy: </w:t>
            </w:r>
            <w:r w:rsidR="005F23DB">
              <w:rPr>
                <w:sz w:val="20"/>
                <w:szCs w:val="20"/>
              </w:rPr>
              <w:t>Pathways Development</w:t>
            </w:r>
          </w:p>
        </w:tc>
        <w:tc>
          <w:tcPr>
            <w:tcW w:w="1080" w:type="dxa"/>
            <w:tcBorders>
              <w:left w:val="single" w:sz="4" w:space="0" w:color="ED7D31" w:themeColor="accent2"/>
              <w:right w:val="single" w:sz="4" w:space="0" w:color="ED7D31" w:themeColor="accent2"/>
            </w:tcBorders>
            <w:shd w:val="clear" w:color="auto" w:fill="F4B083" w:themeFill="accent2" w:themeFillTint="99"/>
            <w:vAlign w:val="center"/>
            <w:hideMark/>
          </w:tcPr>
          <w:p w14:paraId="2B0DBDD3" w14:textId="5543C122" w:rsidR="005F23DB" w:rsidRDefault="00E0205C">
            <w:pPr>
              <w:pStyle w:val="Table1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Major Program Strategy: </w:t>
            </w:r>
            <w:r w:rsidR="005F23DB">
              <w:rPr>
                <w:sz w:val="20"/>
                <w:szCs w:val="20"/>
              </w:rPr>
              <w:t>Technology Use</w:t>
            </w:r>
          </w:p>
        </w:tc>
        <w:tc>
          <w:tcPr>
            <w:tcW w:w="1260" w:type="dxa"/>
            <w:tcBorders>
              <w:left w:val="single" w:sz="4" w:space="0" w:color="ED7D31" w:themeColor="accent2"/>
              <w:right w:val="single" w:sz="4" w:space="0" w:color="ED7D31" w:themeColor="accent2"/>
            </w:tcBorders>
            <w:shd w:val="clear" w:color="auto" w:fill="F4B083" w:themeFill="accent2" w:themeFillTint="99"/>
            <w:vAlign w:val="center"/>
            <w:hideMark/>
          </w:tcPr>
          <w:p w14:paraId="4938168D" w14:textId="1062C5EB" w:rsidR="005F23DB" w:rsidRDefault="00E0205C">
            <w:pPr>
              <w:pStyle w:val="Table1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Major Program Strategy: </w:t>
            </w:r>
            <w:r w:rsidR="005F23DB">
              <w:rPr>
                <w:sz w:val="20"/>
                <w:szCs w:val="20"/>
              </w:rPr>
              <w:t>Employer and Workforce System Engagement</w:t>
            </w:r>
          </w:p>
        </w:tc>
        <w:tc>
          <w:tcPr>
            <w:tcW w:w="864" w:type="dxa"/>
            <w:tcBorders>
              <w:left w:val="single" w:sz="4" w:space="0" w:color="ED7D31" w:themeColor="accent2"/>
            </w:tcBorders>
            <w:shd w:val="clear" w:color="auto" w:fill="F4B083" w:themeFill="accent2" w:themeFillTint="99"/>
            <w:vAlign w:val="center"/>
            <w:hideMark/>
          </w:tcPr>
          <w:p w14:paraId="07C60355" w14:textId="64A502C3" w:rsidR="005F23DB" w:rsidRDefault="00E0205C">
            <w:pPr>
              <w:pStyle w:val="Table1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Major Program Strategy: </w:t>
            </w:r>
            <w:r w:rsidR="005F23DB">
              <w:rPr>
                <w:sz w:val="20"/>
                <w:szCs w:val="20"/>
              </w:rPr>
              <w:t>Student Supports</w:t>
            </w:r>
          </w:p>
        </w:tc>
      </w:tr>
      <w:tr w:rsidR="005F23DB" w14:paraId="586D162F" w14:textId="77777777" w:rsidTr="00E020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ED7D31" w:themeColor="accent2"/>
              <w:left w:val="single" w:sz="4" w:space="0" w:color="F4B083" w:themeColor="accent2" w:themeTint="99"/>
              <w:bottom w:val="single" w:sz="4" w:space="0" w:color="F4B083" w:themeColor="accent2" w:themeTint="99"/>
              <w:right w:val="single" w:sz="4" w:space="0" w:color="ED7D31" w:themeColor="accent2"/>
            </w:tcBorders>
            <w:vAlign w:val="center"/>
            <w:hideMark/>
          </w:tcPr>
          <w:p w14:paraId="3FC49575" w14:textId="741D41F7" w:rsidR="005F23DB" w:rsidRDefault="005F23DB">
            <w:pPr>
              <w:pStyle w:val="NoSpacing"/>
              <w:rPr>
                <w:rFonts w:ascii="Palatino Linotype" w:hAnsi="Palatino Linotype"/>
                <w:b w:val="0"/>
                <w:sz w:val="20"/>
                <w:szCs w:val="20"/>
              </w:rPr>
            </w:pPr>
            <w:r>
              <w:rPr>
                <w:rFonts w:ascii="Palatino Linotype" w:hAnsi="Palatino Linotype"/>
                <w:b w:val="0"/>
                <w:sz w:val="20"/>
                <w:szCs w:val="20"/>
              </w:rPr>
              <w:t>Develop and reform programs to include stackable credentials, modularized curriculum, skill alignment, work-based learning, apprenticeship, articulation agreements, competency-based learning, Common-core competencies, curriculum frameworks, and credentialing requirements.</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73A684B0"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63D5650"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0A251701"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4BF02FF8"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r>
      <w:tr w:rsidR="005F23DB" w14:paraId="03C4443F" w14:textId="77777777" w:rsidTr="00E0205C">
        <w:trPr>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6BF8E1C9"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Purchase equipment for hands-on training in healthcare courses, including simulation equipment.</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45FADE9F" w14:textId="77777777" w:rsidR="005F23DB" w:rsidRDefault="005F23DB">
            <w:pP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443B4451" w14:textId="77777777" w:rsidR="005F23DB" w:rsidRDefault="005F23DB">
            <w:pPr>
              <w:pStyle w:val="Table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30B8A700"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36EB8118"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r>
      <w:tr w:rsidR="005F23DB" w14:paraId="3AB0A5E3" w14:textId="77777777" w:rsidTr="00E020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1B7AE627"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Implement Smart Start classes to promote career awareness and development.</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54DC21A9"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1C0432C7"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81CC2B9"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32672985"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5F23DB" w14:paraId="26AFA22C" w14:textId="77777777" w:rsidTr="00E0205C">
        <w:trPr>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25D8D5C0" w14:textId="77777777" w:rsidR="005F23DB" w:rsidRDefault="005F23DB">
            <w:pPr>
              <w:pStyle w:val="NoSpacing"/>
              <w:rPr>
                <w:rFonts w:ascii="Palatino Linotype" w:hAnsi="Palatino Linotype"/>
                <w:b w:val="0"/>
                <w:sz w:val="20"/>
                <w:szCs w:val="20"/>
              </w:rPr>
            </w:pPr>
            <w:r>
              <w:rPr>
                <w:rFonts w:ascii="Palatino Linotype" w:hAnsi="Palatino Linotype"/>
                <w:b w:val="0"/>
                <w:sz w:val="20"/>
                <w:szCs w:val="20"/>
              </w:rPr>
              <w:t>Implement contextualized and adaptive learning systems, including EdReady, Smart Sparrow, MOOCs.*</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0A8CE9E4" w14:textId="77777777" w:rsidR="005F23DB" w:rsidRDefault="005F23DB">
            <w:pP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5AF579B6" w14:textId="77777777" w:rsidR="005F23DB" w:rsidRDefault="005F23DB">
            <w:pPr>
              <w:pStyle w:val="Table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164B2990"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5C86491C"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r>
      <w:tr w:rsidR="005F23DB" w14:paraId="6CE984E8" w14:textId="77777777" w:rsidTr="00E020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3AED3426"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Develop regional PLA standards and undergo Thomas Edison State University credit review process.</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38F65831"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DA22717"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30C28EA6"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32E7425C"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r>
      <w:tr w:rsidR="005F23DB" w14:paraId="7B81B8F5" w14:textId="77777777" w:rsidTr="00E0205C">
        <w:trPr>
          <w:trHeight w:val="395"/>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559CAF0B"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Implement networking sessions, career support network.</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76F40F16" w14:textId="77777777" w:rsidR="005F23DB" w:rsidRDefault="005F23DB">
            <w:pP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0BF3B3E2"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1F48A65E"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41231FA4" w14:textId="77777777" w:rsidR="005F23DB" w:rsidRDefault="005F23DB">
            <w:pPr>
              <w:pStyle w:val="Table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5F23DB" w14:paraId="55ABA42C" w14:textId="77777777" w:rsidTr="00E020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3AA17BCD" w14:textId="77777777" w:rsidR="005F23DB" w:rsidRDefault="005F23DB">
            <w:pPr>
              <w:pStyle w:val="NoSpacing"/>
              <w:rPr>
                <w:rFonts w:ascii="Palatino Linotype" w:hAnsi="Palatino Linotype"/>
                <w:b w:val="0"/>
                <w:sz w:val="20"/>
                <w:szCs w:val="20"/>
              </w:rPr>
            </w:pPr>
            <w:r>
              <w:rPr>
                <w:rFonts w:ascii="Palatino Linotype" w:hAnsi="Palatino Linotype"/>
                <w:b w:val="0"/>
                <w:sz w:val="20"/>
                <w:szCs w:val="20"/>
              </w:rPr>
              <w:t xml:space="preserve">Hire and train job developers to provide comprehensive counseling and advising to </w:t>
            </w:r>
            <w:r>
              <w:rPr>
                <w:rFonts w:ascii="Palatino Linotype" w:hAnsi="Palatino Linotype"/>
                <w:b w:val="0"/>
                <w:sz w:val="20"/>
                <w:szCs w:val="20"/>
              </w:rPr>
              <w:lastRenderedPageBreak/>
              <w:t>students, share best practices in job development.</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017376B" w14:textId="77777777" w:rsidR="005F23DB" w:rsidRDefault="005F23DB">
            <w:pP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75B5FCCD"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1B04B1E"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433EA779"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5F23DB" w14:paraId="28592BD6" w14:textId="77777777" w:rsidTr="00E0205C">
        <w:trPr>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34C6164F" w14:textId="77777777" w:rsidR="005F23DB" w:rsidRDefault="005F23DB">
            <w:pPr>
              <w:pStyle w:val="NoSpacing"/>
              <w:rPr>
                <w:rFonts w:ascii="Palatino Linotype" w:hAnsi="Palatino Linotype"/>
                <w:b w:val="0"/>
                <w:sz w:val="20"/>
                <w:szCs w:val="20"/>
              </w:rPr>
            </w:pPr>
            <w:r>
              <w:rPr>
                <w:rFonts w:ascii="Palatino Linotype" w:hAnsi="Palatino Linotype"/>
                <w:b w:val="0"/>
                <w:sz w:val="20"/>
                <w:szCs w:val="20"/>
              </w:rPr>
              <w:t>Engage with employers through local collaborations, the</w:t>
            </w:r>
          </w:p>
          <w:p w14:paraId="2E52A4E0" w14:textId="77777777" w:rsidR="005F23DB" w:rsidRDefault="005F23DB">
            <w:pPr>
              <w:pStyle w:val="NoSpacing"/>
              <w:rPr>
                <w:rFonts w:ascii="Palatino Linotype" w:hAnsi="Palatino Linotype"/>
                <w:b w:val="0"/>
                <w:sz w:val="20"/>
                <w:szCs w:val="20"/>
              </w:rPr>
            </w:pPr>
            <w:r>
              <w:rPr>
                <w:rFonts w:ascii="Palatino Linotype" w:hAnsi="Palatino Linotype"/>
                <w:b w:val="0"/>
                <w:sz w:val="20"/>
                <w:szCs w:val="20"/>
              </w:rPr>
              <w:t>Consortium Leadership Council, a workplace committee, and North Jersey Partners.</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338BE67D" w14:textId="77777777" w:rsidR="005F23DB" w:rsidRDefault="005F23DB">
            <w:pP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19161D55"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00700A25" w14:textId="77777777" w:rsidR="005F23DB" w:rsidRDefault="005F23DB">
            <w:pPr>
              <w:pStyle w:val="Table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6541CCC2"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r>
      <w:tr w:rsidR="005F23DB" w14:paraId="7AE56E20" w14:textId="77777777" w:rsidTr="00E0205C">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7FF36B42"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Collaborate with the workforce system to promote referrals.</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3866BDDC" w14:textId="77777777" w:rsidR="005F23DB" w:rsidRDefault="005F23DB">
            <w:pP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88E7690"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6C6763C0" w14:textId="77777777" w:rsidR="005F23DB" w:rsidRDefault="005F23DB">
            <w:pPr>
              <w:pStyle w:val="Table1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56ABD1A"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r>
      <w:tr w:rsidR="005F23DB" w14:paraId="6B35136B" w14:textId="77777777" w:rsidTr="00E0205C">
        <w:trPr>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4EBEC01A"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Develop and implement system to track student data and maintain statewide scorecard.</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06DC96AA" w14:textId="77777777" w:rsidR="005F23DB" w:rsidRDefault="005F23DB">
            <w:pP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578CBCD7"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4D357014" w14:textId="77777777" w:rsidR="005F23DB" w:rsidRDefault="005F23DB">
            <w:pPr>
              <w:pStyle w:val="Table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hideMark/>
          </w:tcPr>
          <w:p w14:paraId="16197F4B"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r>
      <w:tr w:rsidR="005F23DB" w14:paraId="136043B6" w14:textId="77777777" w:rsidTr="00E020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6E36F265"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Develop and contribute OER to, and incorporate OER from, SkillsCommons repository.</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vAlign w:val="center"/>
            <w:hideMark/>
          </w:tcPr>
          <w:p w14:paraId="4CFDF6B7" w14:textId="1DF693DA" w:rsidR="005F23DB" w:rsidRDefault="00CB7032" w:rsidP="00D348ED">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X</w:t>
            </w: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45EEA538"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F452DE8"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4BFF11F2" w14:textId="77777777" w:rsidR="005F23DB" w:rsidRDefault="005F23DB">
            <w:pPr>
              <w:cnfStyle w:val="000000100000" w:firstRow="0" w:lastRow="0" w:firstColumn="0" w:lastColumn="0" w:oddVBand="0" w:evenVBand="0" w:oddHBand="1" w:evenHBand="0" w:firstRowFirstColumn="0" w:firstRowLastColumn="0" w:lastRowFirstColumn="0" w:lastRowLastColumn="0"/>
              <w:rPr>
                <w:sz w:val="20"/>
                <w:szCs w:val="20"/>
              </w:rPr>
            </w:pPr>
          </w:p>
        </w:tc>
      </w:tr>
      <w:tr w:rsidR="005F23DB" w14:paraId="40E9E6C7" w14:textId="77777777" w:rsidTr="00E0205C">
        <w:trPr>
          <w:trHeight w:val="422"/>
          <w:jc w:val="center"/>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6F126BF0" w14:textId="77777777" w:rsidR="005F23DB" w:rsidRDefault="005F23DB">
            <w:pPr>
              <w:pStyle w:val="NoSpacing"/>
              <w:rPr>
                <w:rFonts w:ascii="Palatino Linotype" w:hAnsi="Palatino Linotype" w:cstheme="minorBidi"/>
                <w:b w:val="0"/>
                <w:sz w:val="20"/>
                <w:szCs w:val="20"/>
              </w:rPr>
            </w:pPr>
            <w:r>
              <w:rPr>
                <w:rFonts w:ascii="Palatino Linotype" w:hAnsi="Palatino Linotype"/>
                <w:b w:val="0"/>
                <w:sz w:val="20"/>
                <w:szCs w:val="20"/>
              </w:rPr>
              <w:t xml:space="preserve">Promote faculty and staff professional development. </w:t>
            </w: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noWrap/>
            <w:hideMark/>
          </w:tcPr>
          <w:p w14:paraId="30C3D9B0" w14:textId="1792D389" w:rsidR="005F23DB" w:rsidRDefault="00CB7032" w:rsidP="00D348ED">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X</w:t>
            </w:r>
          </w:p>
        </w:tc>
        <w:tc>
          <w:tcPr>
            <w:tcW w:w="10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64830662"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1198C874"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c>
          <w:tcPr>
            <w:tcW w:w="8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2D4EBE5E" w14:textId="77777777" w:rsidR="005F23DB" w:rsidRDefault="005F23DB">
            <w:pPr>
              <w:cnfStyle w:val="000000000000" w:firstRow="0" w:lastRow="0" w:firstColumn="0" w:lastColumn="0" w:oddVBand="0" w:evenVBand="0" w:oddHBand="0" w:evenHBand="0" w:firstRowFirstColumn="0" w:firstRowLastColumn="0" w:lastRowFirstColumn="0" w:lastRowLastColumn="0"/>
              <w:rPr>
                <w:sz w:val="20"/>
                <w:szCs w:val="20"/>
              </w:rPr>
            </w:pPr>
          </w:p>
        </w:tc>
      </w:tr>
    </w:tbl>
    <w:p w14:paraId="53FCB044" w14:textId="2FA9DA87" w:rsidR="005F23DB" w:rsidRDefault="005F23DB" w:rsidP="007A3B72">
      <w:pPr>
        <w:pStyle w:val="NoSpacing"/>
        <w:rPr>
          <w:rFonts w:ascii="Palatino Linotype" w:hAnsi="Palatino Linotype"/>
          <w:sz w:val="18"/>
          <w:szCs w:val="18"/>
        </w:rPr>
      </w:pPr>
      <w:r w:rsidRPr="007A3B72">
        <w:rPr>
          <w:rFonts w:ascii="Palatino Linotype" w:hAnsi="Palatino Linotype"/>
          <w:sz w:val="18"/>
          <w:szCs w:val="18"/>
        </w:rPr>
        <w:t xml:space="preserve">* Three elements of technology integration were originally proposed for the grant project: EdReady, online adaptive learning platforms such as Smart Sparrow, and the incorporation of MOOCs (Massive Open Online Courses) or simulations. EdReady was found to be the best suited to incorporation across the Consortium and the most sustainable of the three options. </w:t>
      </w:r>
    </w:p>
    <w:p w14:paraId="223136C6" w14:textId="77777777" w:rsidR="007A3B72" w:rsidRPr="007A3B72" w:rsidRDefault="007A3B72" w:rsidP="007A3B72">
      <w:pPr>
        <w:pStyle w:val="NoSpacing"/>
        <w:rPr>
          <w:rFonts w:ascii="Palatino Linotype" w:hAnsi="Palatino Linotype"/>
          <w:sz w:val="18"/>
          <w:szCs w:val="18"/>
        </w:rPr>
      </w:pPr>
    </w:p>
    <w:p w14:paraId="544B115F" w14:textId="1BF36AD3" w:rsidR="00644420" w:rsidRDefault="00644420" w:rsidP="00644420">
      <w:pPr>
        <w:rPr>
          <w:rFonts w:ascii="Palatino Linotype" w:hAnsi="Palatino Linotype"/>
        </w:rPr>
      </w:pPr>
      <w:r w:rsidRPr="00B3418A">
        <w:rPr>
          <w:rFonts w:ascii="Palatino Linotype" w:hAnsi="Palatino Linotype"/>
        </w:rPr>
        <w:t>The following components of the above-listed interventions were evaluated:</w:t>
      </w:r>
    </w:p>
    <w:p w14:paraId="6455D76C" w14:textId="30B90A6F" w:rsidR="005F23DB" w:rsidRDefault="005F23DB" w:rsidP="005F23DB">
      <w:pPr>
        <w:pStyle w:val="ListParagraph"/>
        <w:numPr>
          <w:ilvl w:val="0"/>
          <w:numId w:val="16"/>
        </w:numPr>
      </w:pPr>
      <w:r>
        <w:t>Recruitment/enrollment of target population</w:t>
      </w:r>
    </w:p>
    <w:p w14:paraId="45D20AFB" w14:textId="66FE15F9" w:rsidR="00987548" w:rsidRDefault="00987548" w:rsidP="005F23DB">
      <w:pPr>
        <w:pStyle w:val="ListParagraph"/>
        <w:numPr>
          <w:ilvl w:val="0"/>
          <w:numId w:val="16"/>
        </w:numPr>
      </w:pPr>
      <w:r>
        <w:t>Program development/redesign/changes</w:t>
      </w:r>
    </w:p>
    <w:p w14:paraId="33440268" w14:textId="41CDC934" w:rsidR="005F23DB" w:rsidRDefault="009218C3" w:rsidP="005F23DB">
      <w:pPr>
        <w:pStyle w:val="ListParagraph"/>
        <w:numPr>
          <w:ilvl w:val="0"/>
          <w:numId w:val="16"/>
        </w:numPr>
      </w:pPr>
      <w:r>
        <w:t>Job developer role at each college</w:t>
      </w:r>
    </w:p>
    <w:p w14:paraId="0EACB473" w14:textId="71FFF07D" w:rsidR="009218C3" w:rsidRDefault="009218C3" w:rsidP="005F23DB">
      <w:pPr>
        <w:pStyle w:val="ListParagraph"/>
        <w:numPr>
          <w:ilvl w:val="0"/>
          <w:numId w:val="16"/>
        </w:numPr>
      </w:pPr>
      <w:r>
        <w:t xml:space="preserve">Development and use of </w:t>
      </w:r>
      <w:r w:rsidR="00E06408">
        <w:t xml:space="preserve">guided </w:t>
      </w:r>
      <w:r>
        <w:t>career pathways/stackable credentials</w:t>
      </w:r>
    </w:p>
    <w:p w14:paraId="0EEB6333" w14:textId="0EE46054" w:rsidR="009218C3" w:rsidRDefault="009218C3" w:rsidP="005F23DB">
      <w:pPr>
        <w:pStyle w:val="ListParagraph"/>
        <w:numPr>
          <w:ilvl w:val="0"/>
          <w:numId w:val="16"/>
        </w:numPr>
      </w:pPr>
      <w:r>
        <w:t>Job placement</w:t>
      </w:r>
    </w:p>
    <w:p w14:paraId="6A50292A" w14:textId="0DC7E324" w:rsidR="009218C3" w:rsidRDefault="009218C3" w:rsidP="005F23DB">
      <w:pPr>
        <w:pStyle w:val="ListParagraph"/>
        <w:numPr>
          <w:ilvl w:val="0"/>
          <w:numId w:val="16"/>
        </w:numPr>
      </w:pPr>
      <w:r>
        <w:t>Development and use of externships/clinicals</w:t>
      </w:r>
    </w:p>
    <w:p w14:paraId="48618178" w14:textId="67948659" w:rsidR="009218C3" w:rsidRDefault="00987548" w:rsidP="005F23DB">
      <w:pPr>
        <w:pStyle w:val="ListParagraph"/>
        <w:numPr>
          <w:ilvl w:val="0"/>
          <w:numId w:val="16"/>
        </w:numPr>
      </w:pPr>
      <w:r>
        <w:t>Use of prior learning assessment</w:t>
      </w:r>
    </w:p>
    <w:p w14:paraId="47F30595" w14:textId="5171AB06" w:rsidR="00987548" w:rsidRDefault="00987548" w:rsidP="005F23DB">
      <w:pPr>
        <w:pStyle w:val="ListParagraph"/>
        <w:numPr>
          <w:ilvl w:val="0"/>
          <w:numId w:val="16"/>
        </w:numPr>
      </w:pPr>
      <w:r>
        <w:t>Use of Thomas Edison State University credits</w:t>
      </w:r>
    </w:p>
    <w:p w14:paraId="10BAF739" w14:textId="203382D2" w:rsidR="00987548" w:rsidRDefault="00987548" w:rsidP="005F23DB">
      <w:pPr>
        <w:pStyle w:val="ListParagraph"/>
        <w:numPr>
          <w:ilvl w:val="0"/>
          <w:numId w:val="16"/>
        </w:numPr>
      </w:pPr>
      <w:r>
        <w:t>Attendance of Mental Health First Aid instructor training</w:t>
      </w:r>
    </w:p>
    <w:p w14:paraId="732E6A68" w14:textId="04CD9CC9" w:rsidR="00987548" w:rsidRDefault="00987548" w:rsidP="005F23DB">
      <w:pPr>
        <w:pStyle w:val="ListParagraph"/>
        <w:numPr>
          <w:ilvl w:val="0"/>
          <w:numId w:val="16"/>
        </w:numPr>
      </w:pPr>
      <w:r>
        <w:t>Use of Mental Health First Aid courses in consortium schools</w:t>
      </w:r>
    </w:p>
    <w:p w14:paraId="5F047E32" w14:textId="23EDBB3E" w:rsidR="00987548" w:rsidRDefault="00987548" w:rsidP="005F23DB">
      <w:pPr>
        <w:pStyle w:val="ListParagraph"/>
        <w:numPr>
          <w:ilvl w:val="0"/>
          <w:numId w:val="16"/>
        </w:numPr>
      </w:pPr>
      <w:r>
        <w:t>Use of SmartStart</w:t>
      </w:r>
    </w:p>
    <w:p w14:paraId="7234F23E" w14:textId="5766C40C" w:rsidR="00987548" w:rsidRDefault="00987548" w:rsidP="005F23DB">
      <w:pPr>
        <w:pStyle w:val="ListParagraph"/>
        <w:numPr>
          <w:ilvl w:val="0"/>
          <w:numId w:val="16"/>
        </w:numPr>
      </w:pPr>
      <w:r>
        <w:t>Use of Ed Ready</w:t>
      </w:r>
    </w:p>
    <w:p w14:paraId="1C7BEF55" w14:textId="018D69E2" w:rsidR="00E06408" w:rsidRDefault="00E06408" w:rsidP="005F23DB">
      <w:pPr>
        <w:pStyle w:val="ListParagraph"/>
        <w:numPr>
          <w:ilvl w:val="0"/>
          <w:numId w:val="16"/>
        </w:numPr>
      </w:pPr>
      <w:r>
        <w:t>Creation and use of networking sessions</w:t>
      </w:r>
    </w:p>
    <w:p w14:paraId="1AEF0AC7" w14:textId="7C51FBDC" w:rsidR="00987548" w:rsidRDefault="00E06408" w:rsidP="005F23DB">
      <w:pPr>
        <w:pStyle w:val="ListParagraph"/>
        <w:numPr>
          <w:ilvl w:val="0"/>
          <w:numId w:val="16"/>
        </w:numPr>
      </w:pPr>
      <w:r>
        <w:t>Existence</w:t>
      </w:r>
      <w:r w:rsidR="00987548">
        <w:t xml:space="preserve"> of non-credit to credit transitions and articulation</w:t>
      </w:r>
    </w:p>
    <w:p w14:paraId="03C16E4C" w14:textId="2923BCB9" w:rsidR="00987548" w:rsidRDefault="00E06408" w:rsidP="005F23DB">
      <w:pPr>
        <w:pStyle w:val="ListParagraph"/>
        <w:numPr>
          <w:ilvl w:val="0"/>
          <w:numId w:val="16"/>
        </w:numPr>
      </w:pPr>
      <w:r>
        <w:lastRenderedPageBreak/>
        <w:t>Implementation</w:t>
      </w:r>
      <w:r w:rsidR="00987548">
        <w:t xml:space="preserve"> of </w:t>
      </w:r>
      <w:r>
        <w:t>equipment/supplies</w:t>
      </w:r>
    </w:p>
    <w:p w14:paraId="5B0BD2D5" w14:textId="18F13FB2" w:rsidR="00E06408" w:rsidRDefault="00E06408" w:rsidP="005F23DB">
      <w:pPr>
        <w:pStyle w:val="ListParagraph"/>
        <w:numPr>
          <w:ilvl w:val="0"/>
          <w:numId w:val="16"/>
        </w:numPr>
      </w:pPr>
      <w:r>
        <w:t>Engagement of and collaboration with employers and workforce partners</w:t>
      </w:r>
    </w:p>
    <w:p w14:paraId="7A2542C3" w14:textId="5F5FC766" w:rsidR="00E06408" w:rsidRDefault="00E06408" w:rsidP="005F23DB">
      <w:pPr>
        <w:pStyle w:val="ListParagraph"/>
        <w:numPr>
          <w:ilvl w:val="0"/>
          <w:numId w:val="16"/>
        </w:numPr>
      </w:pPr>
      <w:r>
        <w:t>Use of statewide scorecard</w:t>
      </w:r>
    </w:p>
    <w:p w14:paraId="78717B9A" w14:textId="7FF446FB" w:rsidR="00E06408" w:rsidRDefault="00E06408" w:rsidP="00D348ED">
      <w:pPr>
        <w:pStyle w:val="ListParagraph"/>
        <w:numPr>
          <w:ilvl w:val="0"/>
          <w:numId w:val="16"/>
        </w:numPr>
      </w:pPr>
      <w:r>
        <w:t xml:space="preserve">Use of OER for grant-produced resources </w:t>
      </w:r>
    </w:p>
    <w:p w14:paraId="5953FA14" w14:textId="77777777" w:rsidR="00E06408" w:rsidRPr="005F23DB" w:rsidRDefault="00E06408" w:rsidP="00D348ED">
      <w:pPr>
        <w:pStyle w:val="ListParagraph"/>
      </w:pPr>
    </w:p>
    <w:p w14:paraId="31617E45" w14:textId="6042FE04" w:rsidR="00644420" w:rsidRDefault="00644420" w:rsidP="00D348ED">
      <w:pPr>
        <w:pStyle w:val="Heading2"/>
        <w:contextualSpacing/>
      </w:pPr>
      <w:bookmarkStart w:id="5" w:name="_Toc514318058"/>
      <w:bookmarkStart w:id="6" w:name="_Toc525550480"/>
      <w:r w:rsidRPr="00B3418A">
        <w:t>Populations Served</w:t>
      </w:r>
      <w:bookmarkEnd w:id="5"/>
      <w:bookmarkEnd w:id="6"/>
    </w:p>
    <w:p w14:paraId="0517B972" w14:textId="77777777" w:rsidR="00216560" w:rsidRPr="00216560" w:rsidRDefault="00216560" w:rsidP="00D348ED">
      <w:pPr>
        <w:spacing w:after="0" w:line="240" w:lineRule="auto"/>
        <w:contextualSpacing/>
      </w:pPr>
    </w:p>
    <w:p w14:paraId="51D235FC" w14:textId="789DFEC0" w:rsidR="00216560" w:rsidRPr="00216560" w:rsidRDefault="00216560" w:rsidP="00216560">
      <w:pPr>
        <w:pStyle w:val="ListParagraph"/>
        <w:numPr>
          <w:ilvl w:val="0"/>
          <w:numId w:val="23"/>
        </w:numPr>
      </w:pPr>
      <w:r w:rsidRPr="00216560">
        <w:t>A total of 3,035 participants completed TAACCCT programs</w:t>
      </w:r>
    </w:p>
    <w:p w14:paraId="69DFE4C6" w14:textId="77777777" w:rsidR="00216560" w:rsidRDefault="00216560" w:rsidP="00216560">
      <w:pPr>
        <w:pStyle w:val="ListParagraph"/>
        <w:numPr>
          <w:ilvl w:val="0"/>
          <w:numId w:val="23"/>
        </w:numPr>
      </w:pPr>
      <w:r w:rsidRPr="00216560">
        <w:t>Over 85 percent of participants were femal</w:t>
      </w:r>
      <w:r>
        <w:t>e</w:t>
      </w:r>
    </w:p>
    <w:p w14:paraId="7C6EEE8E" w14:textId="77777777" w:rsidR="00216560" w:rsidRDefault="00216560" w:rsidP="00216560">
      <w:pPr>
        <w:pStyle w:val="ListParagraph"/>
        <w:numPr>
          <w:ilvl w:val="0"/>
          <w:numId w:val="23"/>
        </w:numPr>
      </w:pPr>
      <w:r>
        <w:t>O</w:t>
      </w:r>
      <w:r w:rsidRPr="00216560">
        <w:t xml:space="preserve">ver 60 percent were from underrepresented minority groups. </w:t>
      </w:r>
    </w:p>
    <w:p w14:paraId="719C5BA2" w14:textId="77777777" w:rsidR="00216560" w:rsidRDefault="00216560" w:rsidP="00216560">
      <w:pPr>
        <w:pStyle w:val="ListParagraph"/>
        <w:numPr>
          <w:ilvl w:val="0"/>
          <w:numId w:val="23"/>
        </w:numPr>
      </w:pPr>
      <w:r w:rsidRPr="00216560">
        <w:t>The average age of participants was 36</w:t>
      </w:r>
    </w:p>
    <w:p w14:paraId="238CBCEB" w14:textId="77777777" w:rsidR="00216560" w:rsidRDefault="00216560" w:rsidP="00216560">
      <w:pPr>
        <w:pStyle w:val="ListParagraph"/>
        <w:numPr>
          <w:ilvl w:val="0"/>
          <w:numId w:val="23"/>
        </w:numPr>
      </w:pPr>
      <w:r w:rsidRPr="00216560">
        <w:t>Most participants reported they were not married (71 percent)</w:t>
      </w:r>
    </w:p>
    <w:p w14:paraId="7A23F3DA" w14:textId="77777777" w:rsidR="00216560" w:rsidRDefault="00216560" w:rsidP="00216560">
      <w:pPr>
        <w:pStyle w:val="ListParagraph"/>
        <w:numPr>
          <w:ilvl w:val="0"/>
          <w:numId w:val="23"/>
        </w:numPr>
      </w:pPr>
      <w:r>
        <w:t>V</w:t>
      </w:r>
      <w:r w:rsidRPr="00216560">
        <w:t>ery few reported a disability (1 percent)</w:t>
      </w:r>
      <w:r>
        <w:t xml:space="preserve"> </w:t>
      </w:r>
    </w:p>
    <w:p w14:paraId="0435E646" w14:textId="1BC2F7FE" w:rsidR="00644420" w:rsidRDefault="00216560" w:rsidP="00216560">
      <w:pPr>
        <w:pStyle w:val="ListParagraph"/>
        <w:numPr>
          <w:ilvl w:val="0"/>
          <w:numId w:val="23"/>
        </w:numPr>
      </w:pPr>
      <w:r w:rsidRPr="00216560">
        <w:t>Nearly 54 percent of participants reported they were incumbent workers, who reported an average wage of $12.57 per hour.</w:t>
      </w:r>
    </w:p>
    <w:p w14:paraId="21B07BC1" w14:textId="0A886299" w:rsidR="00B870C7" w:rsidRDefault="00B870C7" w:rsidP="00B870C7">
      <w:pPr>
        <w:pStyle w:val="ListParagraph"/>
      </w:pPr>
    </w:p>
    <w:p w14:paraId="2D3B4600" w14:textId="77777777" w:rsidR="00B870C7" w:rsidRPr="00216560" w:rsidRDefault="00B870C7" w:rsidP="00B870C7">
      <w:pPr>
        <w:pStyle w:val="ListParagraph"/>
      </w:pPr>
    </w:p>
    <w:p w14:paraId="7C08D4CF" w14:textId="13A0E94B" w:rsidR="00644420" w:rsidRDefault="00644420" w:rsidP="003B59FD">
      <w:pPr>
        <w:pStyle w:val="Heading2"/>
      </w:pPr>
      <w:bookmarkStart w:id="7" w:name="_Toc514318059"/>
      <w:bookmarkStart w:id="8" w:name="_Toc470209836"/>
      <w:bookmarkStart w:id="9" w:name="_Toc525550481"/>
      <w:r w:rsidRPr="003B59FD">
        <w:t>Evidence-based Model</w:t>
      </w:r>
      <w:bookmarkEnd w:id="7"/>
      <w:bookmarkEnd w:id="8"/>
      <w:bookmarkEnd w:id="9"/>
    </w:p>
    <w:p w14:paraId="2B04F80A" w14:textId="77777777" w:rsidR="00E06408" w:rsidRPr="007A3B72" w:rsidRDefault="00E06408" w:rsidP="007A3B72">
      <w:pPr>
        <w:pStyle w:val="NoSpacing"/>
        <w:rPr>
          <w:rFonts w:ascii="Palatino Linotype" w:hAnsi="Palatino Linotype"/>
        </w:rPr>
      </w:pPr>
    </w:p>
    <w:p w14:paraId="1F22AAA1" w14:textId="40F8FCBF" w:rsidR="006B3453" w:rsidRPr="007A3B72" w:rsidRDefault="00E06408" w:rsidP="007A3B72">
      <w:pPr>
        <w:pStyle w:val="NoSpacing"/>
        <w:rPr>
          <w:rFonts w:ascii="Palatino Linotype" w:hAnsi="Palatino Linotype"/>
        </w:rPr>
      </w:pPr>
      <w:r w:rsidRPr="007A3B72">
        <w:rPr>
          <w:rFonts w:ascii="Palatino Linotype" w:hAnsi="Palatino Linotype"/>
        </w:rPr>
        <w:t xml:space="preserve">The proposed strategies to </w:t>
      </w:r>
      <w:r w:rsidR="006B3453" w:rsidRPr="007A3B72">
        <w:rPr>
          <w:rFonts w:ascii="Palatino Linotype" w:hAnsi="Palatino Linotype"/>
        </w:rPr>
        <w:t xml:space="preserve">build capacity to train TAA-eligible adults for demand occupations in the region’s healthcare sector </w:t>
      </w:r>
      <w:r w:rsidRPr="007A3B72">
        <w:rPr>
          <w:rFonts w:ascii="Palatino Linotype" w:hAnsi="Palatino Linotype"/>
        </w:rPr>
        <w:t>were based on</w:t>
      </w:r>
      <w:r w:rsidR="006B3453" w:rsidRPr="007A3B72">
        <w:rPr>
          <w:rFonts w:ascii="Palatino Linotype" w:hAnsi="Palatino Linotype"/>
        </w:rPr>
        <w:t xml:space="preserve"> evidence-based practices, including accelerated skill, competency, and credential acquisition; advanced technology; work-based learning; and student support systems</w:t>
      </w:r>
      <w:r w:rsidR="00AE6A25" w:rsidRPr="007A3B72">
        <w:rPr>
          <w:rFonts w:ascii="Palatino Linotype" w:hAnsi="Palatino Linotype"/>
        </w:rPr>
        <w:t>.</w:t>
      </w:r>
    </w:p>
    <w:p w14:paraId="266727CA" w14:textId="77777777" w:rsidR="007A3B72" w:rsidRDefault="007A3B72" w:rsidP="007A3B72">
      <w:pPr>
        <w:pStyle w:val="NoSpacing"/>
        <w:rPr>
          <w:rFonts w:ascii="Palatino Linotype" w:hAnsi="Palatino Linotype"/>
        </w:rPr>
      </w:pPr>
    </w:p>
    <w:p w14:paraId="6A736BA9" w14:textId="45B4066C" w:rsidR="002572C7" w:rsidRPr="007A3B72" w:rsidRDefault="00AE6A25" w:rsidP="007A3B72">
      <w:pPr>
        <w:pStyle w:val="NoSpacing"/>
        <w:rPr>
          <w:rFonts w:ascii="Palatino Linotype" w:hAnsi="Palatino Linotype"/>
        </w:rPr>
      </w:pPr>
      <w:r w:rsidRPr="007A3B72">
        <w:rPr>
          <w:rFonts w:ascii="Palatino Linotype" w:hAnsi="Palatino Linotype"/>
        </w:rPr>
        <w:t>Strong evidence indicates that sector-based approaches result in higher earnings and more benefits and those participants are more likely to be employed than participants in general training programs, thereby supporting the Project’s focus on the healthcare sector.</w:t>
      </w:r>
      <w:r w:rsidRPr="007A3B72">
        <w:rPr>
          <w:rStyle w:val="FootnoteReference"/>
          <w:rFonts w:ascii="Palatino Linotype" w:hAnsi="Palatino Linotype"/>
        </w:rPr>
        <w:footnoteReference w:id="1"/>
      </w:r>
      <w:r w:rsidRPr="007A3B72">
        <w:rPr>
          <w:rFonts w:ascii="Palatino Linotype" w:hAnsi="Palatino Linotype"/>
        </w:rPr>
        <w:t xml:space="preserve"> The use of prior learning assessments is backed by strong evidence that PLAs improve retention, accelerate program completion time, and improve degree completion for adults.</w:t>
      </w:r>
      <w:r w:rsidRPr="007A3B72">
        <w:rPr>
          <w:rStyle w:val="FootnoteReference"/>
          <w:rFonts w:ascii="Palatino Linotype" w:hAnsi="Palatino Linotype"/>
        </w:rPr>
        <w:footnoteReference w:id="2"/>
      </w:r>
      <w:r w:rsidRPr="007A3B72">
        <w:rPr>
          <w:rFonts w:ascii="Palatino Linotype" w:hAnsi="Palatino Linotype"/>
        </w:rPr>
        <w:t xml:space="preserve"> The use of Smart Start </w:t>
      </w:r>
      <w:r w:rsidR="00E06408" w:rsidRPr="007A3B72">
        <w:rPr>
          <w:rFonts w:ascii="Palatino Linotype" w:hAnsi="Palatino Linotype"/>
        </w:rPr>
        <w:t>was</w:t>
      </w:r>
      <w:r w:rsidRPr="007A3B72">
        <w:rPr>
          <w:rFonts w:ascii="Palatino Linotype" w:hAnsi="Palatino Linotype"/>
        </w:rPr>
        <w:t xml:space="preserve"> based on strong evidence that contextualizing developmental education leads to accelerated learning.</w:t>
      </w:r>
      <w:r w:rsidR="0026556A" w:rsidRPr="007A3B72">
        <w:rPr>
          <w:rStyle w:val="FootnoteReference"/>
          <w:rFonts w:ascii="Palatino Linotype" w:hAnsi="Palatino Linotype"/>
        </w:rPr>
        <w:footnoteReference w:id="3"/>
      </w:r>
      <w:r w:rsidRPr="007A3B72">
        <w:rPr>
          <w:rFonts w:ascii="Palatino Linotype" w:hAnsi="Palatino Linotype"/>
        </w:rPr>
        <w:t xml:space="preserve"> Stacking and latticing of certificates and credentials has strong evidence that it leads to higher certificate and degree completion.</w:t>
      </w:r>
      <w:r w:rsidR="0026556A" w:rsidRPr="007A3B72">
        <w:rPr>
          <w:rStyle w:val="FootnoteReference"/>
          <w:rFonts w:ascii="Palatino Linotype" w:hAnsi="Palatino Linotype"/>
        </w:rPr>
        <w:footnoteReference w:id="4"/>
      </w:r>
      <w:r w:rsidR="002572C7" w:rsidRPr="007A3B72">
        <w:rPr>
          <w:rFonts w:ascii="Palatino Linotype" w:hAnsi="Palatino Linotype"/>
        </w:rPr>
        <w:t xml:space="preserve"> Technology, in the form of EdReady </w:t>
      </w:r>
      <w:r w:rsidR="002572C7" w:rsidRPr="007A3B72">
        <w:rPr>
          <w:rFonts w:ascii="Palatino Linotype" w:hAnsi="Palatino Linotype"/>
        </w:rPr>
        <w:lastRenderedPageBreak/>
        <w:t xml:space="preserve">learning software, creates a hybrid learning environment. </w:t>
      </w:r>
      <w:r w:rsidRPr="007A3B72">
        <w:rPr>
          <w:rFonts w:ascii="Palatino Linotype" w:hAnsi="Palatino Linotype"/>
        </w:rPr>
        <w:t>Hybrid learning has strong evidence that outcomes are the same for students in hybrid instruction compared with classroom-only instruction,</w:t>
      </w:r>
      <w:r w:rsidR="0026556A" w:rsidRPr="007A3B72">
        <w:rPr>
          <w:rStyle w:val="FootnoteReference"/>
          <w:rFonts w:ascii="Palatino Linotype" w:hAnsi="Palatino Linotype"/>
        </w:rPr>
        <w:footnoteReference w:id="5"/>
      </w:r>
      <w:r w:rsidRPr="007A3B72">
        <w:rPr>
          <w:rFonts w:ascii="Palatino Linotype" w:hAnsi="Palatino Linotype"/>
        </w:rPr>
        <w:t xml:space="preserve"> providing strength to the project’s strategy to use online platforms for greater accessibility</w:t>
      </w:r>
      <w:r w:rsidR="002572C7" w:rsidRPr="007A3B72">
        <w:rPr>
          <w:rFonts w:ascii="Palatino Linotype" w:hAnsi="Palatino Linotype"/>
        </w:rPr>
        <w:t xml:space="preserve">. </w:t>
      </w:r>
    </w:p>
    <w:p w14:paraId="46987019" w14:textId="77777777" w:rsidR="007A3B72" w:rsidRDefault="007A3B72" w:rsidP="007A3B72">
      <w:pPr>
        <w:pStyle w:val="NoSpacing"/>
        <w:rPr>
          <w:rFonts w:ascii="Palatino Linotype" w:hAnsi="Palatino Linotype"/>
        </w:rPr>
      </w:pPr>
    </w:p>
    <w:p w14:paraId="6E20F3EC" w14:textId="5E6E3FF5" w:rsidR="00AE6A25" w:rsidRPr="007A3B72" w:rsidRDefault="002572C7" w:rsidP="007A3B72">
      <w:pPr>
        <w:pStyle w:val="NoSpacing"/>
        <w:rPr>
          <w:rFonts w:ascii="Palatino Linotype" w:hAnsi="Palatino Linotype"/>
        </w:rPr>
      </w:pPr>
      <w:r w:rsidRPr="007A3B72">
        <w:rPr>
          <w:rFonts w:ascii="Palatino Linotype" w:hAnsi="Palatino Linotype"/>
        </w:rPr>
        <w:t xml:space="preserve">In addition, simulation labs were added to some consortium schools. </w:t>
      </w:r>
      <w:r w:rsidR="00AE6A25" w:rsidRPr="007A3B72">
        <w:rPr>
          <w:rFonts w:ascii="Palatino Linotype" w:hAnsi="Palatino Linotype"/>
        </w:rPr>
        <w:t>Strong evidence demonstrates that simulation environments allow students to practice and culminate their skills in a safe and controlled environment that promotes confidence and student interaction in the classroom</w:t>
      </w:r>
      <w:r w:rsidR="0026556A" w:rsidRPr="007A3B72">
        <w:rPr>
          <w:rStyle w:val="FootnoteReference"/>
          <w:rFonts w:ascii="Palatino Linotype" w:hAnsi="Palatino Linotype"/>
        </w:rPr>
        <w:footnoteReference w:id="6"/>
      </w:r>
      <w:r w:rsidR="00AE6A25" w:rsidRPr="007A3B72">
        <w:rPr>
          <w:rFonts w:ascii="Palatino Linotype" w:hAnsi="Palatino Linotype"/>
        </w:rPr>
        <w:t xml:space="preserve"> while preliminary evidence suggests higher completion rates through the use of adaptive learning systems and digital tutors.</w:t>
      </w:r>
      <w:r w:rsidR="0026556A" w:rsidRPr="007A3B72">
        <w:rPr>
          <w:rStyle w:val="FootnoteReference"/>
          <w:rFonts w:ascii="Palatino Linotype" w:hAnsi="Palatino Linotype"/>
        </w:rPr>
        <w:footnoteReference w:id="7"/>
      </w:r>
      <w:r w:rsidR="00AE6A25" w:rsidRPr="007A3B72">
        <w:rPr>
          <w:rFonts w:ascii="Palatino Linotype" w:hAnsi="Palatino Linotype"/>
        </w:rPr>
        <w:t xml:space="preserve"> In particular, simulation has been scientifically shown to better patient outcomes, reduce medical errors, and positively impact retention of skilled workers by offering a dynamic environment that can replay difficult case scenarios, allow for practice of new procedures or protocols before being practiced on live patients and/or promoting better health communication especially in crisis environments.</w:t>
      </w:r>
      <w:r w:rsidR="0026556A" w:rsidRPr="007A3B72">
        <w:rPr>
          <w:rStyle w:val="FootnoteReference"/>
          <w:rFonts w:ascii="Palatino Linotype" w:hAnsi="Palatino Linotype"/>
        </w:rPr>
        <w:footnoteReference w:id="8"/>
      </w:r>
    </w:p>
    <w:p w14:paraId="17FBB0A7" w14:textId="79D91264" w:rsidR="003275B0" w:rsidRPr="007A3B72" w:rsidRDefault="003275B0" w:rsidP="00D348ED">
      <w:pPr>
        <w:pStyle w:val="NoSpacing"/>
        <w:rPr>
          <w:rFonts w:ascii="Palatino Linotype" w:hAnsi="Palatino Linotype"/>
          <w:b/>
        </w:rPr>
      </w:pPr>
    </w:p>
    <w:p w14:paraId="7E918518" w14:textId="415BD87F" w:rsidR="00644420" w:rsidRDefault="00644420" w:rsidP="00D348ED">
      <w:pPr>
        <w:pStyle w:val="Heading1"/>
        <w:numPr>
          <w:ilvl w:val="0"/>
          <w:numId w:val="3"/>
        </w:numPr>
      </w:pPr>
      <w:bookmarkStart w:id="10" w:name="_Toc514318060"/>
      <w:bookmarkStart w:id="11" w:name="_Toc525550482"/>
      <w:r w:rsidRPr="00B3418A">
        <w:t>Evaluation Design Summary</w:t>
      </w:r>
      <w:bookmarkEnd w:id="10"/>
      <w:bookmarkEnd w:id="11"/>
    </w:p>
    <w:p w14:paraId="7B8D62D0" w14:textId="77777777" w:rsidR="00B870C7" w:rsidRPr="00B870C7" w:rsidRDefault="00B870C7" w:rsidP="00D348ED">
      <w:pPr>
        <w:spacing w:after="0" w:line="240" w:lineRule="auto"/>
      </w:pPr>
    </w:p>
    <w:p w14:paraId="49D09E3E" w14:textId="42BECBA8" w:rsidR="00B3418A" w:rsidRDefault="00B3418A" w:rsidP="00D348ED">
      <w:pPr>
        <w:pStyle w:val="Heading2"/>
        <w:numPr>
          <w:ilvl w:val="0"/>
          <w:numId w:val="9"/>
        </w:numPr>
      </w:pPr>
      <w:bookmarkStart w:id="12" w:name="_Toc525550483"/>
      <w:r w:rsidRPr="00B3418A">
        <w:t>Goals of Evaluation</w:t>
      </w:r>
      <w:bookmarkEnd w:id="12"/>
    </w:p>
    <w:p w14:paraId="3FDBD31B" w14:textId="77777777" w:rsidR="00B83848" w:rsidRDefault="00B83848" w:rsidP="00D348ED">
      <w:pPr>
        <w:pStyle w:val="NoSpacing"/>
        <w:rPr>
          <w:rFonts w:ascii="Times New Roman" w:hAnsi="Times New Roman"/>
          <w:sz w:val="24"/>
          <w:szCs w:val="24"/>
        </w:rPr>
      </w:pPr>
    </w:p>
    <w:p w14:paraId="72390B9A" w14:textId="7532B3FF" w:rsidR="00B83848" w:rsidRPr="007A3B72" w:rsidRDefault="00B83848" w:rsidP="00D348ED">
      <w:pPr>
        <w:pStyle w:val="NoSpacing"/>
        <w:rPr>
          <w:rFonts w:ascii="Palatino Linotype" w:hAnsi="Palatino Linotype"/>
        </w:rPr>
      </w:pPr>
      <w:r w:rsidRPr="007A3B72">
        <w:rPr>
          <w:rFonts w:ascii="Palatino Linotype" w:hAnsi="Palatino Linotype"/>
        </w:rPr>
        <w:t xml:space="preserve">The EERC evaluation used the </w:t>
      </w:r>
      <w:r w:rsidR="00B870C7" w:rsidRPr="007A3B72">
        <w:rPr>
          <w:rFonts w:ascii="Palatino Linotype" w:hAnsi="Palatino Linotype"/>
        </w:rPr>
        <w:t xml:space="preserve">career </w:t>
      </w:r>
      <w:r w:rsidR="00D65DB1" w:rsidRPr="007A3B72">
        <w:rPr>
          <w:rFonts w:ascii="Palatino Linotype" w:hAnsi="Palatino Linotype"/>
        </w:rPr>
        <w:t>pathways framework</w:t>
      </w:r>
      <w:r w:rsidRPr="007A3B72">
        <w:rPr>
          <w:rFonts w:ascii="Palatino Linotype" w:hAnsi="Palatino Linotype"/>
        </w:rPr>
        <w:t xml:space="preserve"> as the guide for both the implementation and outcomes. The project was focused on expanding access to and improving institutional capacity for </w:t>
      </w:r>
      <w:r w:rsidR="00D65DB1" w:rsidRPr="007A3B72">
        <w:rPr>
          <w:rFonts w:ascii="Palatino Linotype" w:hAnsi="Palatino Linotype"/>
        </w:rPr>
        <w:t>healthcare</w:t>
      </w:r>
      <w:r w:rsidRPr="007A3B72">
        <w:rPr>
          <w:rFonts w:ascii="Palatino Linotype" w:hAnsi="Palatino Linotype"/>
        </w:rPr>
        <w:t xml:space="preserve"> training and education in </w:t>
      </w:r>
      <w:r w:rsidR="00D65DB1" w:rsidRPr="007A3B72">
        <w:rPr>
          <w:rFonts w:ascii="Palatino Linotype" w:hAnsi="Palatino Linotype"/>
        </w:rPr>
        <w:t xml:space="preserve">New Jersey. </w:t>
      </w:r>
      <w:r w:rsidRPr="007A3B72">
        <w:rPr>
          <w:rFonts w:ascii="Palatino Linotype" w:hAnsi="Palatino Linotype"/>
        </w:rPr>
        <w:t xml:space="preserve">It was hypothesized that this could be achieved using </w:t>
      </w:r>
      <w:r w:rsidR="00D65DB1" w:rsidRPr="007A3B72">
        <w:rPr>
          <w:rFonts w:ascii="Palatino Linotype" w:hAnsi="Palatino Linotype"/>
        </w:rPr>
        <w:t>four</w:t>
      </w:r>
      <w:r w:rsidRPr="007A3B72">
        <w:rPr>
          <w:rFonts w:ascii="Palatino Linotype" w:hAnsi="Palatino Linotype"/>
        </w:rPr>
        <w:t xml:space="preserve"> primary </w:t>
      </w:r>
      <w:r w:rsidR="00D65DB1" w:rsidRPr="007A3B72">
        <w:rPr>
          <w:rFonts w:ascii="Palatino Linotype" w:hAnsi="Palatino Linotype"/>
        </w:rPr>
        <w:t>strategies</w:t>
      </w:r>
      <w:r w:rsidRPr="007A3B72">
        <w:rPr>
          <w:rFonts w:ascii="Palatino Linotype" w:hAnsi="Palatino Linotype"/>
        </w:rPr>
        <w:t xml:space="preserve">: </w:t>
      </w:r>
      <w:r w:rsidR="00D65DB1" w:rsidRPr="007A3B72">
        <w:rPr>
          <w:rFonts w:ascii="Palatino Linotype" w:hAnsi="Palatino Linotype"/>
        </w:rPr>
        <w:t>accelerated credential acquisition, educational technology, s</w:t>
      </w:r>
      <w:r w:rsidRPr="007A3B72">
        <w:rPr>
          <w:rFonts w:ascii="Palatino Linotype" w:hAnsi="Palatino Linotype"/>
        </w:rPr>
        <w:t>tudent supports</w:t>
      </w:r>
      <w:r w:rsidR="00D65DB1" w:rsidRPr="007A3B72">
        <w:rPr>
          <w:rFonts w:ascii="Palatino Linotype" w:hAnsi="Palatino Linotype"/>
        </w:rPr>
        <w:t>,</w:t>
      </w:r>
      <w:r w:rsidRPr="007A3B72">
        <w:rPr>
          <w:rFonts w:ascii="Palatino Linotype" w:hAnsi="Palatino Linotype"/>
        </w:rPr>
        <w:t xml:space="preserve"> and </w:t>
      </w:r>
      <w:r w:rsidR="00317A0C" w:rsidRPr="007A3B72">
        <w:rPr>
          <w:rFonts w:ascii="Palatino Linotype" w:hAnsi="Palatino Linotype"/>
        </w:rPr>
        <w:t>employer and workforce</w:t>
      </w:r>
      <w:r w:rsidR="00987548" w:rsidRPr="007A3B72">
        <w:rPr>
          <w:rFonts w:ascii="Palatino Linotype" w:hAnsi="Palatino Linotype"/>
        </w:rPr>
        <w:t xml:space="preserve"> system engagement</w:t>
      </w:r>
      <w:r w:rsidRPr="007A3B72">
        <w:rPr>
          <w:rFonts w:ascii="Palatino Linotype" w:hAnsi="Palatino Linotype"/>
        </w:rPr>
        <w:t xml:space="preserve">. Data was collected in a variety of ways including site visits, interviews, focus groups, document review, surveys, </w:t>
      </w:r>
      <w:r w:rsidR="00D65DB1" w:rsidRPr="007A3B72">
        <w:rPr>
          <w:rFonts w:ascii="Palatino Linotype" w:hAnsi="Palatino Linotype"/>
        </w:rPr>
        <w:t xml:space="preserve">a Salesforce data </w:t>
      </w:r>
      <w:r w:rsidRPr="007A3B72">
        <w:rPr>
          <w:rFonts w:ascii="Palatino Linotype" w:hAnsi="Palatino Linotype"/>
        </w:rPr>
        <w:t xml:space="preserve">tracking system, and attendance at project meetings and events. </w:t>
      </w:r>
    </w:p>
    <w:p w14:paraId="4B33EA2B" w14:textId="77777777" w:rsidR="00B83848" w:rsidRPr="007A3B72" w:rsidRDefault="00B83848" w:rsidP="007A3B72">
      <w:pPr>
        <w:pStyle w:val="NoSpacing"/>
        <w:rPr>
          <w:rFonts w:ascii="Palatino Linotype" w:hAnsi="Palatino Linotype"/>
        </w:rPr>
      </w:pPr>
    </w:p>
    <w:p w14:paraId="25E03213" w14:textId="6C43A25C" w:rsidR="00202919" w:rsidRPr="007A3B72" w:rsidRDefault="00202919" w:rsidP="007A3B72">
      <w:pPr>
        <w:pStyle w:val="NoSpacing"/>
        <w:rPr>
          <w:rFonts w:ascii="Palatino Linotype" w:hAnsi="Palatino Linotype"/>
        </w:rPr>
      </w:pPr>
      <w:r w:rsidRPr="007A3B72">
        <w:rPr>
          <w:rFonts w:ascii="Palatino Linotype" w:hAnsi="Palatino Linotype"/>
        </w:rPr>
        <w:t>In addition to the four sets of research questions listed in the DOL SGA (on curriculum, program design and administration, student assessment, and partner roles/contributions), the Rutgers team identified several research questions to guide the evaluation based on the unique focus of NJ PREP</w:t>
      </w:r>
      <w:r w:rsidR="00D65DB1" w:rsidRPr="007A3B72">
        <w:rPr>
          <w:rFonts w:ascii="Palatino Linotype" w:hAnsi="Palatino Linotype"/>
        </w:rPr>
        <w:t>:</w:t>
      </w:r>
      <w:r w:rsidRPr="007A3B72">
        <w:rPr>
          <w:rFonts w:ascii="Palatino Linotype" w:hAnsi="Palatino Linotype"/>
        </w:rPr>
        <w:t xml:space="preserve"> </w:t>
      </w:r>
    </w:p>
    <w:p w14:paraId="79B8A468" w14:textId="77777777" w:rsidR="00D65DB1" w:rsidRPr="007A3B72" w:rsidRDefault="00D65DB1" w:rsidP="007A3B72">
      <w:pPr>
        <w:pStyle w:val="NoSpacing"/>
        <w:rPr>
          <w:rFonts w:ascii="Palatino Linotype" w:hAnsi="Palatino Linotype"/>
        </w:rPr>
      </w:pPr>
    </w:p>
    <w:p w14:paraId="7D3F741D" w14:textId="6FC77F42" w:rsidR="00D65DB1" w:rsidRPr="00B870C7" w:rsidRDefault="00D65DB1" w:rsidP="00202919">
      <w:pPr>
        <w:pStyle w:val="NoSpacing"/>
        <w:rPr>
          <w:rFonts w:ascii="Palatino Linotype" w:hAnsi="Palatino Linotype"/>
        </w:rPr>
      </w:pPr>
      <w:r w:rsidRPr="00B870C7">
        <w:rPr>
          <w:rFonts w:ascii="Palatino Linotype" w:hAnsi="Palatino Linotype"/>
        </w:rPr>
        <w:t>Program and Strategy Design:</w:t>
      </w:r>
    </w:p>
    <w:p w14:paraId="1E891D8D" w14:textId="4A3A52DF" w:rsidR="00D65DB1" w:rsidRPr="00B870C7" w:rsidRDefault="00D65DB1" w:rsidP="00202919">
      <w:pPr>
        <w:pStyle w:val="NoSpacing"/>
        <w:numPr>
          <w:ilvl w:val="0"/>
          <w:numId w:val="12"/>
        </w:numPr>
        <w:rPr>
          <w:rFonts w:ascii="Palatino Linotype" w:hAnsi="Palatino Linotype"/>
        </w:rPr>
      </w:pPr>
      <w:r w:rsidRPr="00B870C7">
        <w:rPr>
          <w:rFonts w:ascii="Palatino Linotype" w:hAnsi="Palatino Linotype"/>
        </w:rPr>
        <w:t>How did colleges understand the goals o</w:t>
      </w:r>
      <w:r w:rsidR="00800334" w:rsidRPr="00B870C7">
        <w:rPr>
          <w:rFonts w:ascii="Palatino Linotype" w:hAnsi="Palatino Linotype"/>
        </w:rPr>
        <w:t>f NJ PREP</w:t>
      </w:r>
      <w:r w:rsidRPr="00B870C7">
        <w:rPr>
          <w:rFonts w:ascii="Palatino Linotype" w:hAnsi="Palatino Linotype"/>
        </w:rPr>
        <w:t>?</w:t>
      </w:r>
    </w:p>
    <w:p w14:paraId="2FB2DA26" w14:textId="08C0EFB9" w:rsidR="00D65DB1" w:rsidRPr="00B870C7" w:rsidRDefault="00D65DB1" w:rsidP="00202919">
      <w:pPr>
        <w:pStyle w:val="NoSpacing"/>
        <w:numPr>
          <w:ilvl w:val="0"/>
          <w:numId w:val="12"/>
        </w:numPr>
        <w:rPr>
          <w:rFonts w:ascii="Palatino Linotype" w:hAnsi="Palatino Linotype"/>
        </w:rPr>
      </w:pPr>
      <w:r w:rsidRPr="00B870C7">
        <w:rPr>
          <w:rFonts w:ascii="Palatino Linotype" w:hAnsi="Palatino Linotype"/>
        </w:rPr>
        <w:lastRenderedPageBreak/>
        <w:t>How did colleges operationalize these goals at the institutional level?</w:t>
      </w:r>
    </w:p>
    <w:p w14:paraId="6CB95290" w14:textId="3B88317A" w:rsidR="00D65DB1" w:rsidRPr="00B870C7" w:rsidRDefault="00D65DB1" w:rsidP="00202919">
      <w:pPr>
        <w:pStyle w:val="NoSpacing"/>
        <w:numPr>
          <w:ilvl w:val="0"/>
          <w:numId w:val="12"/>
        </w:numPr>
        <w:rPr>
          <w:rFonts w:ascii="Palatino Linotype" w:hAnsi="Palatino Linotype"/>
        </w:rPr>
      </w:pPr>
      <w:r w:rsidRPr="00B870C7">
        <w:rPr>
          <w:rFonts w:ascii="Palatino Linotype" w:hAnsi="Palatino Linotype"/>
        </w:rPr>
        <w:t>How were these goals operated at the consortium level?</w:t>
      </w:r>
    </w:p>
    <w:p w14:paraId="72DEED5C" w14:textId="77777777" w:rsidR="00D65DB1" w:rsidRPr="00B870C7" w:rsidRDefault="00D65DB1" w:rsidP="00D65DB1">
      <w:pPr>
        <w:pStyle w:val="NoSpacing"/>
        <w:ind w:left="720"/>
        <w:rPr>
          <w:rFonts w:ascii="Palatino Linotype" w:hAnsi="Palatino Linotype"/>
        </w:rPr>
      </w:pPr>
    </w:p>
    <w:p w14:paraId="22C26291" w14:textId="08BD9682" w:rsidR="00D65DB1" w:rsidRPr="00B870C7" w:rsidRDefault="00D65DB1" w:rsidP="00D65DB1">
      <w:pPr>
        <w:pStyle w:val="NoSpacing"/>
        <w:rPr>
          <w:rFonts w:ascii="Palatino Linotype" w:hAnsi="Palatino Linotype"/>
        </w:rPr>
      </w:pPr>
      <w:r w:rsidRPr="00B870C7">
        <w:rPr>
          <w:rFonts w:ascii="Palatino Linotype" w:hAnsi="Palatino Linotype"/>
        </w:rPr>
        <w:t>Program Operations:</w:t>
      </w:r>
    </w:p>
    <w:p w14:paraId="24EDBE66" w14:textId="2708FAC5" w:rsidR="00202919" w:rsidRPr="00B870C7" w:rsidRDefault="00202919" w:rsidP="00202919">
      <w:pPr>
        <w:pStyle w:val="NoSpacing"/>
        <w:numPr>
          <w:ilvl w:val="0"/>
          <w:numId w:val="12"/>
        </w:numPr>
        <w:rPr>
          <w:rFonts w:ascii="Palatino Linotype" w:hAnsi="Palatino Linotype"/>
        </w:rPr>
      </w:pPr>
      <w:r w:rsidRPr="00B870C7">
        <w:rPr>
          <w:rFonts w:ascii="Palatino Linotype" w:hAnsi="Palatino Linotype"/>
        </w:rPr>
        <w:t xml:space="preserve">What strategies and activities for career pathway development have NJ PREP colleges implemented? To what extent have these strategies and activities been implemented as expected? If not, why not? </w:t>
      </w:r>
    </w:p>
    <w:p w14:paraId="4FAE0B12" w14:textId="77777777" w:rsidR="00202919" w:rsidRPr="00B870C7" w:rsidRDefault="00202919" w:rsidP="00202919">
      <w:pPr>
        <w:pStyle w:val="NoSpacing"/>
        <w:numPr>
          <w:ilvl w:val="0"/>
          <w:numId w:val="12"/>
        </w:numPr>
        <w:rPr>
          <w:rFonts w:ascii="Palatino Linotype" w:hAnsi="Palatino Linotype"/>
        </w:rPr>
      </w:pPr>
      <w:r w:rsidRPr="00B870C7">
        <w:rPr>
          <w:rFonts w:ascii="Palatino Linotype" w:hAnsi="Palatino Linotype"/>
        </w:rPr>
        <w:t>How do key employer and workforce partners work with NJ PREP and its colleges? What are the successes and challenges in these relationships?</w:t>
      </w:r>
    </w:p>
    <w:p w14:paraId="62EB9E55" w14:textId="77777777" w:rsidR="00202919" w:rsidRPr="00B870C7" w:rsidRDefault="00202919" w:rsidP="00202919">
      <w:pPr>
        <w:pStyle w:val="NoSpacing"/>
        <w:numPr>
          <w:ilvl w:val="0"/>
          <w:numId w:val="12"/>
        </w:numPr>
        <w:rPr>
          <w:rFonts w:ascii="Palatino Linotype" w:hAnsi="Palatino Linotype"/>
        </w:rPr>
      </w:pPr>
      <w:r w:rsidRPr="00B870C7">
        <w:rPr>
          <w:rFonts w:ascii="Palatino Linotype" w:hAnsi="Palatino Linotype"/>
        </w:rPr>
        <w:t>How has NJ PREP used technology to enhance their programs? What are the successes and challenges of the use of technology in the NJ PREP programs?</w:t>
      </w:r>
    </w:p>
    <w:p w14:paraId="04261932" w14:textId="77777777" w:rsidR="00202919" w:rsidRPr="00B870C7" w:rsidRDefault="00202919" w:rsidP="00202919">
      <w:pPr>
        <w:pStyle w:val="NoSpacing"/>
        <w:numPr>
          <w:ilvl w:val="0"/>
          <w:numId w:val="12"/>
        </w:numPr>
        <w:rPr>
          <w:rFonts w:ascii="Palatino Linotype" w:hAnsi="Palatino Linotype"/>
        </w:rPr>
      </w:pPr>
      <w:r w:rsidRPr="00B870C7">
        <w:rPr>
          <w:rFonts w:ascii="Palatino Linotype" w:hAnsi="Palatino Linotype"/>
        </w:rPr>
        <w:t>What supports has NJ PREP provided to help adults complete programs and successfully transition into the workforce? What are successes and challenges with these supports?</w:t>
      </w:r>
    </w:p>
    <w:p w14:paraId="44A13F5F" w14:textId="051FDDF3" w:rsidR="00202919" w:rsidRPr="00B870C7" w:rsidRDefault="00202919" w:rsidP="00202919">
      <w:pPr>
        <w:pStyle w:val="NoSpacing"/>
        <w:numPr>
          <w:ilvl w:val="0"/>
          <w:numId w:val="12"/>
        </w:numPr>
        <w:rPr>
          <w:rFonts w:ascii="Palatino Linotype" w:hAnsi="Palatino Linotype"/>
        </w:rPr>
      </w:pPr>
      <w:r w:rsidRPr="00B870C7">
        <w:rPr>
          <w:rFonts w:ascii="Palatino Linotype" w:hAnsi="Palatino Linotype"/>
        </w:rPr>
        <w:t xml:space="preserve">What are the educational outcomes of NJ PREP’s participants? What are the employment outcomes of NJ PREP’s participants? </w:t>
      </w:r>
    </w:p>
    <w:p w14:paraId="32926ABA" w14:textId="77777777" w:rsidR="00800334" w:rsidRPr="00B870C7" w:rsidRDefault="00800334" w:rsidP="00800334">
      <w:pPr>
        <w:pStyle w:val="NoSpacing"/>
        <w:ind w:left="720"/>
        <w:rPr>
          <w:rFonts w:ascii="Palatino Linotype" w:hAnsi="Palatino Linotype"/>
        </w:rPr>
      </w:pPr>
    </w:p>
    <w:p w14:paraId="7085727B" w14:textId="5FC41CF7" w:rsidR="00B3418A" w:rsidRPr="00B870C7" w:rsidRDefault="00B3418A" w:rsidP="003B59FD">
      <w:pPr>
        <w:pStyle w:val="Heading2"/>
        <w:rPr>
          <w:szCs w:val="22"/>
        </w:rPr>
      </w:pPr>
      <w:bookmarkStart w:id="13" w:name="_Toc525550484"/>
      <w:r w:rsidRPr="00B870C7">
        <w:rPr>
          <w:szCs w:val="22"/>
        </w:rPr>
        <w:t>Implementation Study Design</w:t>
      </w:r>
      <w:bookmarkEnd w:id="13"/>
    </w:p>
    <w:p w14:paraId="05838992" w14:textId="77777777" w:rsidR="00644420" w:rsidRPr="007A3B72" w:rsidRDefault="00644420" w:rsidP="007A3B72">
      <w:pPr>
        <w:pStyle w:val="NoSpacing"/>
        <w:rPr>
          <w:rFonts w:ascii="Palatino Linotype" w:hAnsi="Palatino Linotype"/>
        </w:rPr>
      </w:pPr>
    </w:p>
    <w:p w14:paraId="09385A6D" w14:textId="61113D9B" w:rsidR="00644420" w:rsidRDefault="00644420" w:rsidP="007A3B72">
      <w:pPr>
        <w:pStyle w:val="NoSpacing"/>
        <w:rPr>
          <w:rFonts w:ascii="Palatino Linotype" w:hAnsi="Palatino Linotype"/>
        </w:rPr>
      </w:pPr>
      <w:r w:rsidRPr="007A3B72">
        <w:rPr>
          <w:rFonts w:ascii="Palatino Linotype" w:hAnsi="Palatino Linotype"/>
        </w:rPr>
        <w:t>The implementation evaluation was guided by several broad research questions. More detailed research questions were also posed for many of the activities and interventions in the project and are discussed throughout the main report.</w:t>
      </w:r>
    </w:p>
    <w:p w14:paraId="6D754AEF" w14:textId="77777777" w:rsidR="007A3B72" w:rsidRPr="007A3B72" w:rsidRDefault="007A3B72" w:rsidP="007A3B72">
      <w:pPr>
        <w:pStyle w:val="NoSpacing"/>
        <w:rPr>
          <w:rFonts w:ascii="Palatino Linotype" w:hAnsi="Palatino Linotype"/>
        </w:rPr>
      </w:pPr>
    </w:p>
    <w:p w14:paraId="1B9A9540" w14:textId="77777777" w:rsidR="00216560" w:rsidRPr="00B870C7" w:rsidRDefault="00216560" w:rsidP="00216560">
      <w:pPr>
        <w:pStyle w:val="NoSpacing"/>
        <w:numPr>
          <w:ilvl w:val="0"/>
          <w:numId w:val="12"/>
        </w:numPr>
        <w:rPr>
          <w:rFonts w:ascii="Palatino Linotype" w:hAnsi="Palatino Linotype"/>
        </w:rPr>
      </w:pPr>
      <w:r w:rsidRPr="00B870C7">
        <w:rPr>
          <w:rFonts w:ascii="Palatino Linotype" w:hAnsi="Palatino Linotype"/>
        </w:rPr>
        <w:t xml:space="preserve">What strategies and activities for career pathway development have NJ PREP colleges implemented? To what extent have these strategies and activities been implemented as expected? If not, why not? </w:t>
      </w:r>
    </w:p>
    <w:p w14:paraId="145C6C8E" w14:textId="77777777" w:rsidR="00216560" w:rsidRPr="00B870C7" w:rsidRDefault="00216560" w:rsidP="00216560">
      <w:pPr>
        <w:pStyle w:val="NoSpacing"/>
        <w:numPr>
          <w:ilvl w:val="0"/>
          <w:numId w:val="12"/>
        </w:numPr>
        <w:rPr>
          <w:rFonts w:ascii="Palatino Linotype" w:hAnsi="Palatino Linotype"/>
        </w:rPr>
      </w:pPr>
      <w:r w:rsidRPr="00B870C7">
        <w:rPr>
          <w:rFonts w:ascii="Palatino Linotype" w:hAnsi="Palatino Linotype"/>
        </w:rPr>
        <w:t>How do key employer and workforce partners work with NJ PREP and its colleges? What are the successes and challenges in these relationships?</w:t>
      </w:r>
    </w:p>
    <w:p w14:paraId="38BD2ED2" w14:textId="77777777" w:rsidR="00216560" w:rsidRPr="00B870C7" w:rsidRDefault="00216560" w:rsidP="00216560">
      <w:pPr>
        <w:pStyle w:val="NoSpacing"/>
        <w:numPr>
          <w:ilvl w:val="0"/>
          <w:numId w:val="12"/>
        </w:numPr>
        <w:rPr>
          <w:rFonts w:ascii="Palatino Linotype" w:hAnsi="Palatino Linotype"/>
        </w:rPr>
      </w:pPr>
      <w:r w:rsidRPr="00B870C7">
        <w:rPr>
          <w:rFonts w:ascii="Palatino Linotype" w:hAnsi="Palatino Linotype"/>
        </w:rPr>
        <w:t>How has NJ PREP used technology to enhance their programs? What are the successes and challenges of the use of technology in the NJ PREP programs?</w:t>
      </w:r>
    </w:p>
    <w:p w14:paraId="4CBA00B6" w14:textId="77777777" w:rsidR="00216560" w:rsidRPr="00B870C7" w:rsidRDefault="00216560" w:rsidP="00216560">
      <w:pPr>
        <w:pStyle w:val="NoSpacing"/>
        <w:numPr>
          <w:ilvl w:val="0"/>
          <w:numId w:val="12"/>
        </w:numPr>
        <w:rPr>
          <w:rFonts w:ascii="Palatino Linotype" w:hAnsi="Palatino Linotype"/>
        </w:rPr>
      </w:pPr>
      <w:r w:rsidRPr="00B870C7">
        <w:rPr>
          <w:rFonts w:ascii="Palatino Linotype" w:hAnsi="Palatino Linotype"/>
        </w:rPr>
        <w:t>What supports has NJ PREP provided to help adults complete programs and successfully transition into the workforce? What are successes and challenges with these supports?</w:t>
      </w:r>
    </w:p>
    <w:p w14:paraId="16BA1877" w14:textId="77777777" w:rsidR="00216560" w:rsidRPr="00B870C7" w:rsidRDefault="00216560" w:rsidP="00216560">
      <w:pPr>
        <w:pStyle w:val="NoSpacing"/>
        <w:numPr>
          <w:ilvl w:val="0"/>
          <w:numId w:val="12"/>
        </w:numPr>
        <w:rPr>
          <w:rFonts w:ascii="Palatino Linotype" w:hAnsi="Palatino Linotype"/>
        </w:rPr>
      </w:pPr>
      <w:r w:rsidRPr="00B870C7">
        <w:rPr>
          <w:rFonts w:ascii="Palatino Linotype" w:hAnsi="Palatino Linotype"/>
        </w:rPr>
        <w:t xml:space="preserve">What are the educational outcomes of NJ PREP’s participants? What are the employment outcomes of NJ PREP’s participants? </w:t>
      </w:r>
    </w:p>
    <w:p w14:paraId="7C49589B" w14:textId="6CFD722E" w:rsidR="00216560" w:rsidRPr="00B870C7" w:rsidRDefault="00216560" w:rsidP="00216560">
      <w:pPr>
        <w:pStyle w:val="NoSpacing"/>
        <w:rPr>
          <w:rFonts w:ascii="Palatino Linotype" w:hAnsi="Palatino Linotype"/>
        </w:rPr>
      </w:pPr>
    </w:p>
    <w:p w14:paraId="370D1AFE" w14:textId="40FCA064" w:rsidR="00216560" w:rsidRPr="00B870C7" w:rsidRDefault="00216560" w:rsidP="00216560">
      <w:pPr>
        <w:pStyle w:val="MediumGrid21"/>
        <w:rPr>
          <w:rFonts w:ascii="Palatino Linotype" w:hAnsi="Palatino Linotype"/>
        </w:rPr>
      </w:pPr>
      <w:r w:rsidRPr="00B870C7">
        <w:rPr>
          <w:rFonts w:ascii="Palatino Linotype" w:hAnsi="Palatino Linotype"/>
        </w:rPr>
        <w:t>For the program implementation analysis, the Rutgers team assess</w:t>
      </w:r>
      <w:r w:rsidR="007A3B72">
        <w:rPr>
          <w:rFonts w:ascii="Palatino Linotype" w:hAnsi="Palatino Linotype"/>
        </w:rPr>
        <w:t>ed</w:t>
      </w:r>
      <w:r w:rsidRPr="00B870C7">
        <w:rPr>
          <w:rFonts w:ascii="Palatino Linotype" w:hAnsi="Palatino Linotype"/>
        </w:rPr>
        <w:t xml:space="preserve"> NJ PREP’s progress in the development and implementation of its planned activities. This examination:</w:t>
      </w:r>
    </w:p>
    <w:p w14:paraId="2012C1EB" w14:textId="72A429CA" w:rsidR="00216560" w:rsidRPr="00B870C7" w:rsidRDefault="00216560" w:rsidP="00216560">
      <w:pPr>
        <w:pStyle w:val="MediumGrid21"/>
        <w:numPr>
          <w:ilvl w:val="0"/>
          <w:numId w:val="25"/>
        </w:numPr>
        <w:rPr>
          <w:rFonts w:ascii="Palatino Linotype" w:hAnsi="Palatino Linotype"/>
        </w:rPr>
      </w:pPr>
      <w:r w:rsidRPr="00B870C7">
        <w:rPr>
          <w:rFonts w:ascii="Palatino Linotype" w:hAnsi="Palatino Linotype"/>
        </w:rPr>
        <w:t xml:space="preserve">Considered the fidelity of program implementation to the proposed model, </w:t>
      </w:r>
    </w:p>
    <w:p w14:paraId="0D1DE55A" w14:textId="1EE40F77" w:rsidR="00216560" w:rsidRPr="00B870C7" w:rsidRDefault="00216560" w:rsidP="00216560">
      <w:pPr>
        <w:pStyle w:val="MediumGrid21"/>
        <w:numPr>
          <w:ilvl w:val="0"/>
          <w:numId w:val="25"/>
        </w:numPr>
        <w:rPr>
          <w:rFonts w:ascii="Palatino Linotype" w:hAnsi="Palatino Linotype"/>
        </w:rPr>
      </w:pPr>
      <w:r w:rsidRPr="00B870C7">
        <w:rPr>
          <w:rFonts w:ascii="Palatino Linotype" w:hAnsi="Palatino Linotype" w:cs="Times New Roman"/>
        </w:rPr>
        <w:t xml:space="preserve">Evaluated the consistency of implementation across colleges, </w:t>
      </w:r>
    </w:p>
    <w:p w14:paraId="3A2F864A" w14:textId="775931C8" w:rsidR="00216560" w:rsidRPr="00B870C7" w:rsidRDefault="00216560" w:rsidP="00216560">
      <w:pPr>
        <w:pStyle w:val="MediumGrid21"/>
        <w:numPr>
          <w:ilvl w:val="0"/>
          <w:numId w:val="25"/>
        </w:numPr>
        <w:rPr>
          <w:rFonts w:ascii="Palatino Linotype" w:hAnsi="Palatino Linotype"/>
        </w:rPr>
      </w:pPr>
      <w:r w:rsidRPr="00B870C7">
        <w:rPr>
          <w:rFonts w:ascii="Palatino Linotype" w:hAnsi="Palatino Linotype"/>
        </w:rPr>
        <w:t xml:space="preserve">Identified strengths and weaknesses in program implementation, </w:t>
      </w:r>
    </w:p>
    <w:p w14:paraId="73B90F92" w14:textId="24409977" w:rsidR="00216560" w:rsidRPr="00B870C7" w:rsidRDefault="00216560" w:rsidP="00216560">
      <w:pPr>
        <w:pStyle w:val="MediumGrid21"/>
        <w:numPr>
          <w:ilvl w:val="0"/>
          <w:numId w:val="25"/>
        </w:numPr>
        <w:rPr>
          <w:rFonts w:ascii="Palatino Linotype" w:hAnsi="Palatino Linotype"/>
        </w:rPr>
      </w:pPr>
      <w:r w:rsidRPr="00B870C7">
        <w:rPr>
          <w:rFonts w:ascii="Palatino Linotype" w:hAnsi="Palatino Linotype"/>
        </w:rPr>
        <w:t xml:space="preserve">Provided ongoing feedback to guide the project’s mid-course corrections, and sustainability and scale. </w:t>
      </w:r>
    </w:p>
    <w:p w14:paraId="5D4C2F9D" w14:textId="77777777" w:rsidR="00216560" w:rsidRPr="00B870C7" w:rsidRDefault="00216560" w:rsidP="00216560">
      <w:pPr>
        <w:pStyle w:val="MediumGrid21"/>
        <w:ind w:left="780"/>
        <w:rPr>
          <w:rFonts w:ascii="Palatino Linotype" w:hAnsi="Palatino Linotype"/>
        </w:rPr>
      </w:pPr>
    </w:p>
    <w:p w14:paraId="72151B43" w14:textId="77777777" w:rsidR="00216560" w:rsidRPr="00B870C7" w:rsidRDefault="00216560" w:rsidP="00B870C7">
      <w:pPr>
        <w:pStyle w:val="MediumGrid21"/>
        <w:rPr>
          <w:rFonts w:ascii="Palatino Linotype" w:hAnsi="Palatino Linotype" w:cs="Times New Roman"/>
        </w:rPr>
      </w:pPr>
      <w:r w:rsidRPr="00B870C7">
        <w:rPr>
          <w:rFonts w:ascii="Palatino Linotype" w:hAnsi="Palatino Linotype"/>
        </w:rPr>
        <w:t xml:space="preserve">The following areas were studied:  </w:t>
      </w:r>
      <w:r w:rsidRPr="00B870C7">
        <w:rPr>
          <w:rFonts w:ascii="Palatino Linotype" w:hAnsi="Palatino Linotype" w:cs="Times New Roman"/>
        </w:rPr>
        <w:t xml:space="preserve">Curriculum, program design and administration, student assessment, and partner roles/contributions. </w:t>
      </w:r>
    </w:p>
    <w:p w14:paraId="28D12E97" w14:textId="77777777" w:rsidR="00216560" w:rsidRPr="00B870C7" w:rsidRDefault="00216560" w:rsidP="00216560">
      <w:pPr>
        <w:pStyle w:val="MediumGrid21"/>
        <w:ind w:left="420"/>
        <w:rPr>
          <w:rFonts w:ascii="Palatino Linotype" w:hAnsi="Palatino Linotype" w:cs="Times New Roman"/>
        </w:rPr>
      </w:pPr>
    </w:p>
    <w:p w14:paraId="79A00722" w14:textId="77777777" w:rsidR="00216560" w:rsidRPr="00B870C7" w:rsidRDefault="00216560" w:rsidP="00216560">
      <w:pPr>
        <w:pStyle w:val="MediumGrid21"/>
        <w:ind w:left="420"/>
        <w:rPr>
          <w:rFonts w:ascii="Palatino Linotype" w:hAnsi="Palatino Linotype" w:cs="Times New Roman"/>
        </w:rPr>
      </w:pPr>
      <w:r w:rsidRPr="00B870C7">
        <w:rPr>
          <w:rFonts w:ascii="Palatino Linotype" w:hAnsi="Palatino Linotype" w:cs="Times New Roman"/>
        </w:rPr>
        <w:t xml:space="preserve">The four focal areas of NJ PREP were also studied: </w:t>
      </w:r>
    </w:p>
    <w:p w14:paraId="4E42F756" w14:textId="77777777" w:rsidR="00216560" w:rsidRPr="00B870C7" w:rsidRDefault="00216560" w:rsidP="00216560">
      <w:pPr>
        <w:pStyle w:val="MediumGrid21"/>
        <w:numPr>
          <w:ilvl w:val="0"/>
          <w:numId w:val="26"/>
        </w:numPr>
        <w:rPr>
          <w:rFonts w:ascii="Palatino Linotype" w:hAnsi="Palatino Linotype"/>
        </w:rPr>
      </w:pPr>
      <w:r w:rsidRPr="00B870C7">
        <w:rPr>
          <w:rFonts w:ascii="Palatino Linotype" w:hAnsi="Palatino Linotype" w:cs="Times New Roman"/>
        </w:rPr>
        <w:t xml:space="preserve">career pathway development and the noncredit to credit transition; </w:t>
      </w:r>
    </w:p>
    <w:p w14:paraId="7104D3B2" w14:textId="77777777" w:rsidR="00216560" w:rsidRPr="00B870C7" w:rsidRDefault="00216560" w:rsidP="00216560">
      <w:pPr>
        <w:pStyle w:val="MediumGrid21"/>
        <w:numPr>
          <w:ilvl w:val="0"/>
          <w:numId w:val="26"/>
        </w:numPr>
        <w:rPr>
          <w:rFonts w:ascii="Palatino Linotype" w:hAnsi="Palatino Linotype"/>
        </w:rPr>
      </w:pPr>
      <w:r w:rsidRPr="00B870C7">
        <w:rPr>
          <w:rFonts w:ascii="Palatino Linotype" w:hAnsi="Palatino Linotype" w:cs="Times New Roman"/>
        </w:rPr>
        <w:t xml:space="preserve">industry engagement efforts and their relationship to labor market alignment; </w:t>
      </w:r>
    </w:p>
    <w:p w14:paraId="11F7621D" w14:textId="77777777" w:rsidR="00216560" w:rsidRPr="00B870C7" w:rsidRDefault="00216560" w:rsidP="00216560">
      <w:pPr>
        <w:pStyle w:val="MediumGrid21"/>
        <w:numPr>
          <w:ilvl w:val="0"/>
          <w:numId w:val="26"/>
        </w:numPr>
        <w:rPr>
          <w:rFonts w:ascii="Palatino Linotype" w:hAnsi="Palatino Linotype"/>
        </w:rPr>
      </w:pPr>
      <w:r w:rsidRPr="00B870C7">
        <w:rPr>
          <w:rFonts w:ascii="Palatino Linotype" w:hAnsi="Palatino Linotype" w:cs="Times New Roman"/>
        </w:rPr>
        <w:t xml:space="preserve">the use of technology to support learning; </w:t>
      </w:r>
    </w:p>
    <w:p w14:paraId="7D9581C8" w14:textId="171FF2E0" w:rsidR="00216560" w:rsidRPr="00B870C7" w:rsidRDefault="00216560" w:rsidP="00CB7032">
      <w:pPr>
        <w:pStyle w:val="MediumGrid21"/>
        <w:numPr>
          <w:ilvl w:val="0"/>
          <w:numId w:val="26"/>
        </w:numPr>
        <w:rPr>
          <w:rFonts w:ascii="Palatino Linotype" w:hAnsi="Palatino Linotype"/>
        </w:rPr>
      </w:pPr>
      <w:r w:rsidRPr="00B870C7">
        <w:rPr>
          <w:rFonts w:ascii="Palatino Linotype" w:hAnsi="Palatino Linotype" w:cs="Times New Roman"/>
        </w:rPr>
        <w:t xml:space="preserve">supports to help students make career choices and move along their career pathway. </w:t>
      </w:r>
    </w:p>
    <w:p w14:paraId="3FB52B08" w14:textId="77777777" w:rsidR="00216560" w:rsidRPr="00B870C7" w:rsidRDefault="00216560" w:rsidP="00216560">
      <w:pPr>
        <w:pStyle w:val="MediumGrid21"/>
        <w:ind w:left="1140"/>
        <w:rPr>
          <w:rFonts w:ascii="Palatino Linotype" w:hAnsi="Palatino Linotype"/>
        </w:rPr>
      </w:pPr>
    </w:p>
    <w:p w14:paraId="74FCB9BD" w14:textId="5CE9112F" w:rsidR="007A3B72" w:rsidRPr="00B870C7" w:rsidRDefault="00216560" w:rsidP="00A21D7C">
      <w:pPr>
        <w:pStyle w:val="MediumGrid21"/>
        <w:spacing w:line="240" w:lineRule="auto"/>
        <w:rPr>
          <w:rFonts w:ascii="Palatino Linotype" w:hAnsi="Palatino Linotype"/>
        </w:rPr>
      </w:pPr>
      <w:r w:rsidRPr="00B870C7">
        <w:rPr>
          <w:rFonts w:ascii="Palatino Linotype" w:hAnsi="Palatino Linotype"/>
        </w:rPr>
        <w:t>Implementation analyses data was collected via in-person interviews during annual site visits, phone interviews, in-person focus groups, targeted information-gathering emails, document review, attendance at grant meetings and events, and surveys.</w:t>
      </w:r>
      <w:r w:rsidR="00A21D7C" w:rsidRPr="00B870C7">
        <w:rPr>
          <w:rFonts w:ascii="Palatino Linotype" w:hAnsi="Palatino Linotype"/>
        </w:rPr>
        <w:t xml:space="preserve"> </w:t>
      </w:r>
    </w:p>
    <w:p w14:paraId="43BC7868" w14:textId="77777777" w:rsidR="00D348ED" w:rsidRDefault="00D348ED">
      <w:pPr>
        <w:rPr>
          <w:rFonts w:ascii="Palatino Linotype" w:eastAsiaTheme="majorEastAsia" w:hAnsi="Palatino Linotype" w:cstheme="majorBidi"/>
          <w:b/>
        </w:rPr>
      </w:pPr>
      <w:r>
        <w:br w:type="page"/>
      </w:r>
    </w:p>
    <w:p w14:paraId="4041869A" w14:textId="4AC6B28C" w:rsidR="00B3418A" w:rsidRPr="00B870C7" w:rsidRDefault="00B3418A" w:rsidP="00D348ED">
      <w:pPr>
        <w:pStyle w:val="Heading2"/>
        <w:rPr>
          <w:szCs w:val="22"/>
        </w:rPr>
      </w:pPr>
      <w:bookmarkStart w:id="14" w:name="_Toc525550485"/>
      <w:r w:rsidRPr="00B870C7">
        <w:rPr>
          <w:szCs w:val="22"/>
        </w:rPr>
        <w:lastRenderedPageBreak/>
        <w:t>Outcomes/Impact Study Design</w:t>
      </w:r>
      <w:bookmarkEnd w:id="14"/>
    </w:p>
    <w:p w14:paraId="6CD497D2" w14:textId="77777777" w:rsidR="003B59FD" w:rsidRPr="007A3B72" w:rsidRDefault="003B59FD" w:rsidP="00D348ED">
      <w:pPr>
        <w:pStyle w:val="NoSpacing"/>
        <w:rPr>
          <w:rFonts w:ascii="Palatino Linotype" w:hAnsi="Palatino Linotype"/>
        </w:rPr>
      </w:pPr>
    </w:p>
    <w:p w14:paraId="17D02D46" w14:textId="1E6E8265" w:rsidR="00644420" w:rsidRDefault="00644420" w:rsidP="007A3B72">
      <w:pPr>
        <w:pStyle w:val="NoSpacing"/>
        <w:rPr>
          <w:rFonts w:ascii="Palatino Linotype" w:hAnsi="Palatino Linotype"/>
        </w:rPr>
      </w:pPr>
      <w:r w:rsidRPr="007A3B72">
        <w:rPr>
          <w:rFonts w:ascii="Palatino Linotype" w:hAnsi="Palatino Linotype"/>
        </w:rPr>
        <w:t xml:space="preserve">The outcomes evaluation considered students served at each college </w:t>
      </w:r>
      <w:r w:rsidR="00216560" w:rsidRPr="007A3B72">
        <w:rPr>
          <w:rFonts w:ascii="Palatino Linotype" w:hAnsi="Palatino Linotype"/>
        </w:rPr>
        <w:t xml:space="preserve">and a quasi-experimental design comparing TAACCCT students and students attending similar programs in private New Jersey institutions. The outcomes evaluation </w:t>
      </w:r>
      <w:r w:rsidRPr="007A3B72">
        <w:rPr>
          <w:rFonts w:ascii="Palatino Linotype" w:hAnsi="Palatino Linotype"/>
        </w:rPr>
        <w:t xml:space="preserve">used </w:t>
      </w:r>
      <w:r w:rsidR="00216560" w:rsidRPr="007A3B72">
        <w:rPr>
          <w:rFonts w:ascii="Palatino Linotype" w:hAnsi="Palatino Linotype"/>
        </w:rPr>
        <w:t xml:space="preserve">difference-in-differences (DID) and regression with probabilistic matching statistical models. </w:t>
      </w:r>
      <w:r w:rsidRPr="007A3B72">
        <w:rPr>
          <w:rFonts w:ascii="Palatino Linotype" w:hAnsi="Palatino Linotype"/>
        </w:rPr>
        <w:t>The examined outcomes include</w:t>
      </w:r>
      <w:r w:rsidR="00216560" w:rsidRPr="007A3B72">
        <w:rPr>
          <w:rFonts w:ascii="Palatino Linotype" w:hAnsi="Palatino Linotype"/>
        </w:rPr>
        <w:t>d</w:t>
      </w:r>
      <w:r w:rsidRPr="007A3B72">
        <w:rPr>
          <w:rFonts w:ascii="Palatino Linotype" w:hAnsi="Palatino Linotype"/>
        </w:rPr>
        <w:t xml:space="preserve"> students served, credentials achieved, and employment and wage outcomes. </w:t>
      </w:r>
    </w:p>
    <w:p w14:paraId="108D248D" w14:textId="77777777" w:rsidR="007A3B72" w:rsidRPr="007A3B72" w:rsidRDefault="007A3B72" w:rsidP="00D348ED">
      <w:pPr>
        <w:pStyle w:val="NoSpacing"/>
        <w:rPr>
          <w:rFonts w:ascii="Palatino Linotype" w:hAnsi="Palatino Linotype"/>
        </w:rPr>
      </w:pPr>
    </w:p>
    <w:p w14:paraId="58657CAA" w14:textId="104F7B0F" w:rsidR="00644420" w:rsidRPr="00B3418A" w:rsidRDefault="00644420" w:rsidP="00D348ED">
      <w:pPr>
        <w:pStyle w:val="Heading1"/>
        <w:numPr>
          <w:ilvl w:val="0"/>
          <w:numId w:val="3"/>
        </w:numPr>
      </w:pPr>
      <w:bookmarkStart w:id="15" w:name="_Toc514318061"/>
      <w:bookmarkStart w:id="16" w:name="_Toc525550486"/>
      <w:r w:rsidRPr="00B870C7">
        <w:rPr>
          <w:szCs w:val="22"/>
        </w:rPr>
        <w:t>Implementation</w:t>
      </w:r>
      <w:bookmarkEnd w:id="15"/>
      <w:r w:rsidR="00B3418A" w:rsidRPr="00B870C7">
        <w:rPr>
          <w:szCs w:val="22"/>
        </w:rPr>
        <w:t xml:space="preserve"> Findings</w:t>
      </w:r>
      <w:bookmarkEnd w:id="16"/>
    </w:p>
    <w:p w14:paraId="486C5CD3" w14:textId="77777777" w:rsidR="00644420" w:rsidRPr="00B3418A" w:rsidRDefault="00644420" w:rsidP="00D348ED">
      <w:pPr>
        <w:spacing w:after="0" w:line="240" w:lineRule="auto"/>
        <w:rPr>
          <w:rFonts w:ascii="Palatino Linotype" w:hAnsi="Palatino Linotype"/>
          <w:b/>
        </w:rPr>
      </w:pPr>
    </w:p>
    <w:p w14:paraId="0031E70B" w14:textId="7A7F17C5" w:rsidR="00644420" w:rsidRDefault="00644420" w:rsidP="00D348ED">
      <w:pPr>
        <w:pStyle w:val="Heading2"/>
        <w:numPr>
          <w:ilvl w:val="0"/>
          <w:numId w:val="10"/>
        </w:numPr>
      </w:pPr>
      <w:bookmarkStart w:id="17" w:name="_Toc514318062"/>
      <w:bookmarkStart w:id="18" w:name="_Toc525550487"/>
      <w:r w:rsidRPr="003B59FD">
        <w:t>Institutional Capacity</w:t>
      </w:r>
      <w:bookmarkEnd w:id="17"/>
      <w:bookmarkEnd w:id="18"/>
    </w:p>
    <w:p w14:paraId="78BFD500" w14:textId="77777777" w:rsidR="00800334" w:rsidRPr="00800334" w:rsidRDefault="00800334" w:rsidP="00D348ED">
      <w:pPr>
        <w:spacing w:after="0" w:line="240" w:lineRule="auto"/>
      </w:pPr>
    </w:p>
    <w:p w14:paraId="011E6FD3" w14:textId="76DB118C" w:rsidR="00800334" w:rsidRDefault="00800334" w:rsidP="00D348ED">
      <w:pPr>
        <w:spacing w:after="0" w:line="240" w:lineRule="auto"/>
        <w:rPr>
          <w:rFonts w:ascii="Palatino Linotype" w:hAnsi="Palatino Linotype"/>
        </w:rPr>
      </w:pPr>
      <w:r>
        <w:rPr>
          <w:rFonts w:ascii="Palatino Linotype" w:hAnsi="Palatino Linotype"/>
        </w:rPr>
        <w:t xml:space="preserve">Some </w:t>
      </w:r>
      <w:r w:rsidRPr="00800334">
        <w:rPr>
          <w:rFonts w:ascii="Palatino Linotype" w:hAnsi="Palatino Linotype"/>
        </w:rPr>
        <w:t xml:space="preserve">NJ PREP goals were well-aligned with the institutional goals of consortium schools. </w:t>
      </w:r>
      <w:r>
        <w:rPr>
          <w:rFonts w:ascii="Palatino Linotype" w:hAnsi="Palatino Linotype"/>
        </w:rPr>
        <w:t>These included:</w:t>
      </w:r>
    </w:p>
    <w:p w14:paraId="4D3D13FB" w14:textId="77777777" w:rsidR="00D348ED" w:rsidRDefault="00D348ED" w:rsidP="00D348ED">
      <w:pPr>
        <w:spacing w:after="0" w:line="240" w:lineRule="auto"/>
        <w:rPr>
          <w:rFonts w:ascii="Palatino Linotype" w:hAnsi="Palatino Linotype"/>
        </w:rPr>
      </w:pPr>
    </w:p>
    <w:p w14:paraId="60AB682E" w14:textId="329630B9" w:rsidR="00800334" w:rsidRDefault="00800334" w:rsidP="00D348ED">
      <w:pPr>
        <w:pStyle w:val="ListParagraph"/>
        <w:numPr>
          <w:ilvl w:val="0"/>
          <w:numId w:val="14"/>
        </w:numPr>
        <w:contextualSpacing w:val="0"/>
      </w:pPr>
      <w:r>
        <w:t>A priority to better align healthcare programs with the needs of local healthcare industry employers</w:t>
      </w:r>
    </w:p>
    <w:p w14:paraId="46D80392" w14:textId="06292A30" w:rsidR="00800334" w:rsidRDefault="00800334" w:rsidP="00D348ED">
      <w:pPr>
        <w:pStyle w:val="ListParagraph"/>
        <w:numPr>
          <w:ilvl w:val="0"/>
          <w:numId w:val="14"/>
        </w:numPr>
        <w:contextualSpacing w:val="0"/>
      </w:pPr>
      <w:r>
        <w:t>Expansion of healthcare programs</w:t>
      </w:r>
    </w:p>
    <w:p w14:paraId="3EE8EC0B" w14:textId="2AE7FC51" w:rsidR="00800334" w:rsidRDefault="00800334" w:rsidP="00D348ED">
      <w:pPr>
        <w:pStyle w:val="ListParagraph"/>
        <w:numPr>
          <w:ilvl w:val="0"/>
          <w:numId w:val="14"/>
        </w:numPr>
        <w:contextualSpacing w:val="0"/>
      </w:pPr>
      <w:r w:rsidRPr="00800334">
        <w:t>A priority to build career pathways and to create/expand stackable credentials</w:t>
      </w:r>
    </w:p>
    <w:p w14:paraId="20C78093" w14:textId="0613B244" w:rsidR="0031762C" w:rsidRDefault="0031762C" w:rsidP="00D348ED">
      <w:pPr>
        <w:pStyle w:val="ListParagraph"/>
        <w:numPr>
          <w:ilvl w:val="0"/>
          <w:numId w:val="14"/>
        </w:numPr>
        <w:contextualSpacing w:val="0"/>
      </w:pPr>
      <w:r>
        <w:t>A focus on building stronger industry connections</w:t>
      </w:r>
    </w:p>
    <w:p w14:paraId="6E399CDE" w14:textId="77777777" w:rsidR="00800334" w:rsidRDefault="00800334" w:rsidP="00D348ED">
      <w:pPr>
        <w:spacing w:after="0" w:line="240" w:lineRule="auto"/>
      </w:pPr>
    </w:p>
    <w:p w14:paraId="3D2B7C1A" w14:textId="122345CE" w:rsidR="00800334" w:rsidRPr="00800334" w:rsidRDefault="00800334" w:rsidP="00D348ED">
      <w:pPr>
        <w:spacing w:after="0" w:line="240" w:lineRule="auto"/>
        <w:rPr>
          <w:rFonts w:ascii="Palatino Linotype" w:hAnsi="Palatino Linotype"/>
        </w:rPr>
      </w:pPr>
      <w:r w:rsidRPr="00800334">
        <w:rPr>
          <w:rFonts w:ascii="Palatino Linotype" w:hAnsi="Palatino Linotype"/>
        </w:rPr>
        <w:t>Other goals were well-aligned with the institutional goals of some, but not all, consortium schools. These included:</w:t>
      </w:r>
    </w:p>
    <w:p w14:paraId="74441A66" w14:textId="4461B285" w:rsidR="00800334" w:rsidRDefault="0031762C" w:rsidP="00800334">
      <w:pPr>
        <w:pStyle w:val="ListParagraph"/>
        <w:numPr>
          <w:ilvl w:val="0"/>
          <w:numId w:val="15"/>
        </w:numPr>
      </w:pPr>
      <w:r>
        <w:t>G</w:t>
      </w:r>
      <w:r w:rsidR="00800334">
        <w:t>oals to create stronger prior learning assessments</w:t>
      </w:r>
    </w:p>
    <w:p w14:paraId="59A92273" w14:textId="6358D153" w:rsidR="00800334" w:rsidRDefault="0031762C" w:rsidP="00800334">
      <w:pPr>
        <w:pStyle w:val="ListParagraph"/>
        <w:numPr>
          <w:ilvl w:val="0"/>
          <w:numId w:val="15"/>
        </w:numPr>
      </w:pPr>
      <w:r>
        <w:t>Objectives to create clear non-credit to credit transitions</w:t>
      </w:r>
    </w:p>
    <w:p w14:paraId="72B1E15E" w14:textId="4D57E73E" w:rsidR="0031762C" w:rsidRDefault="0031762C" w:rsidP="0031762C">
      <w:pPr>
        <w:pStyle w:val="ListParagraph"/>
        <w:numPr>
          <w:ilvl w:val="0"/>
          <w:numId w:val="15"/>
        </w:numPr>
      </w:pPr>
      <w:r w:rsidRPr="0031762C">
        <w:t>A focus on infrastructure, including space allocation and the addition of equipment and/or supplies</w:t>
      </w:r>
    </w:p>
    <w:p w14:paraId="404F0FBD" w14:textId="6B72F01C" w:rsidR="0031762C" w:rsidRDefault="0031762C" w:rsidP="0031762C">
      <w:pPr>
        <w:pStyle w:val="ListParagraph"/>
        <w:numPr>
          <w:ilvl w:val="0"/>
          <w:numId w:val="15"/>
        </w:numPr>
      </w:pPr>
      <w:r>
        <w:t>A focus on building stronger relationships with workforce partners</w:t>
      </w:r>
    </w:p>
    <w:p w14:paraId="33726081" w14:textId="6C24C1AF" w:rsidR="005F23DB" w:rsidRDefault="005F23DB" w:rsidP="0031762C">
      <w:pPr>
        <w:pStyle w:val="ListParagraph"/>
        <w:numPr>
          <w:ilvl w:val="0"/>
          <w:numId w:val="15"/>
        </w:numPr>
      </w:pPr>
      <w:r>
        <w:t>The integration of technology into programs to better prepare students for college-level work</w:t>
      </w:r>
    </w:p>
    <w:p w14:paraId="2D5D1792" w14:textId="77777777" w:rsidR="0031762C" w:rsidRDefault="0031762C" w:rsidP="0031762C">
      <w:pPr>
        <w:pStyle w:val="ListParagraph"/>
        <w:ind w:left="765"/>
      </w:pPr>
    </w:p>
    <w:p w14:paraId="78D4ED15" w14:textId="17B73AE1" w:rsidR="0031762C" w:rsidRDefault="0031762C" w:rsidP="007A3B72">
      <w:pPr>
        <w:pStyle w:val="NoSpacing"/>
        <w:rPr>
          <w:rFonts w:ascii="Palatino Linotype" w:hAnsi="Palatino Linotype"/>
        </w:rPr>
      </w:pPr>
      <w:r w:rsidRPr="007A3B72">
        <w:rPr>
          <w:rFonts w:ascii="Palatino Linotype" w:hAnsi="Palatino Linotype"/>
        </w:rPr>
        <w:t xml:space="preserve">At each school, NJ PREP goals that were closely aligned with institutional goals created strong </w:t>
      </w:r>
      <w:r w:rsidR="005F23DB" w:rsidRPr="007A3B72">
        <w:rPr>
          <w:rFonts w:ascii="Palatino Linotype" w:hAnsi="Palatino Linotype"/>
        </w:rPr>
        <w:t>institutional</w:t>
      </w:r>
      <w:r w:rsidRPr="007A3B72">
        <w:rPr>
          <w:rFonts w:ascii="Palatino Linotype" w:hAnsi="Palatino Linotype"/>
        </w:rPr>
        <w:t xml:space="preserve"> buy-in, with encouraged faster implementation as well as sustainability planning. For example, at those schools where plans were already underway to expand lab space or create hands-on learning opportunities, these elements occurred </w:t>
      </w:r>
      <w:r w:rsidR="005F23DB" w:rsidRPr="007A3B72">
        <w:rPr>
          <w:rFonts w:ascii="Palatino Linotype" w:hAnsi="Palatino Linotype"/>
        </w:rPr>
        <w:t>quickly,</w:t>
      </w:r>
      <w:r w:rsidRPr="007A3B72">
        <w:rPr>
          <w:rFonts w:ascii="Palatino Linotype" w:hAnsi="Palatino Linotype"/>
        </w:rPr>
        <w:t xml:space="preserve"> and institutional capacity was leveraged to ensure sustainability.</w:t>
      </w:r>
      <w:r w:rsidR="007F5A5E" w:rsidRPr="007A3B72">
        <w:rPr>
          <w:rFonts w:ascii="Palatino Linotype" w:hAnsi="Palatino Linotype"/>
        </w:rPr>
        <w:t xml:space="preserve"> At schools where non-credit to credit articulation was already an institutional priority there was success in bridging noncredit and credit programming.</w:t>
      </w:r>
      <w:r w:rsidRPr="007A3B72">
        <w:rPr>
          <w:rFonts w:ascii="Palatino Linotype" w:hAnsi="Palatino Linotype"/>
        </w:rPr>
        <w:t xml:space="preserve"> In the case of goals that were not well aligned with institutional priorities, however, implementation was slow or nonexistent, and </w:t>
      </w:r>
      <w:r w:rsidR="005F23DB" w:rsidRPr="007A3B72">
        <w:rPr>
          <w:rFonts w:ascii="Palatino Linotype" w:hAnsi="Palatino Linotype"/>
        </w:rPr>
        <w:t xml:space="preserve">program elements were not sustained. Examples of this included non-credit to credit transitions, prior learning assessment redesign, and technology integration. </w:t>
      </w:r>
    </w:p>
    <w:p w14:paraId="6B5A883A" w14:textId="77777777" w:rsidR="00D348ED" w:rsidRPr="007A3B72" w:rsidRDefault="00D348ED" w:rsidP="007A3B72">
      <w:pPr>
        <w:pStyle w:val="NoSpacing"/>
        <w:rPr>
          <w:rFonts w:ascii="Palatino Linotype" w:hAnsi="Palatino Linotype"/>
        </w:rPr>
      </w:pPr>
    </w:p>
    <w:p w14:paraId="2490AAE6" w14:textId="77777777" w:rsidR="00644420" w:rsidRPr="00B3418A" w:rsidRDefault="00644420" w:rsidP="003B59FD">
      <w:pPr>
        <w:pStyle w:val="Heading2"/>
      </w:pPr>
      <w:bookmarkStart w:id="19" w:name="_Toc514318063"/>
      <w:bookmarkStart w:id="20" w:name="_Toc470209840"/>
      <w:bookmarkStart w:id="21" w:name="_Toc525550488"/>
      <w:r w:rsidRPr="00B3418A">
        <w:lastRenderedPageBreak/>
        <w:t>Key Steps Taken at Program Level</w:t>
      </w:r>
      <w:bookmarkEnd w:id="19"/>
      <w:bookmarkEnd w:id="20"/>
      <w:bookmarkEnd w:id="21"/>
    </w:p>
    <w:p w14:paraId="5CAA2B3B" w14:textId="77777777" w:rsidR="00404B2F" w:rsidRPr="007A3B72" w:rsidRDefault="00404B2F" w:rsidP="007A3B72">
      <w:pPr>
        <w:pStyle w:val="NoSpacing"/>
        <w:rPr>
          <w:rFonts w:ascii="Palatino Linotype" w:hAnsi="Palatino Linotype"/>
        </w:rPr>
      </w:pPr>
    </w:p>
    <w:p w14:paraId="54F703C2" w14:textId="36165B98" w:rsidR="00644420" w:rsidRDefault="00404B2F" w:rsidP="007A3B72">
      <w:pPr>
        <w:pStyle w:val="NoSpacing"/>
        <w:rPr>
          <w:rFonts w:ascii="Palatino Linotype" w:hAnsi="Palatino Linotype"/>
        </w:rPr>
      </w:pPr>
      <w:r w:rsidRPr="007A3B72">
        <w:rPr>
          <w:rFonts w:ascii="Palatino Linotype" w:hAnsi="Palatino Linotype"/>
        </w:rPr>
        <w:t>All twelve consortium schools implemented their programs with fidelity to the original model, although some schools experienced unexpected delays. Delays included issues related to:</w:t>
      </w:r>
    </w:p>
    <w:p w14:paraId="12C4A32C" w14:textId="77777777" w:rsidR="007A3B72" w:rsidRPr="007A3B72" w:rsidRDefault="007A3B72" w:rsidP="007A3B72">
      <w:pPr>
        <w:pStyle w:val="NoSpacing"/>
        <w:rPr>
          <w:rFonts w:ascii="Palatino Linotype" w:hAnsi="Palatino Linotype"/>
        </w:rPr>
      </w:pPr>
    </w:p>
    <w:p w14:paraId="39B0E539" w14:textId="7162500C" w:rsidR="00404B2F" w:rsidRDefault="00404B2F" w:rsidP="00404B2F">
      <w:pPr>
        <w:pStyle w:val="ListParagraph"/>
        <w:numPr>
          <w:ilvl w:val="0"/>
          <w:numId w:val="17"/>
        </w:numPr>
        <w:rPr>
          <w:rFonts w:eastAsia="Calibri" w:cs="Times New Roman"/>
        </w:rPr>
      </w:pPr>
      <w:r>
        <w:rPr>
          <w:rFonts w:eastAsia="Calibri" w:cs="Times New Roman"/>
        </w:rPr>
        <w:t>Space acquisition/renovation</w:t>
      </w:r>
    </w:p>
    <w:p w14:paraId="63A5D405" w14:textId="0C7CC826" w:rsidR="00404B2F" w:rsidRDefault="00404B2F" w:rsidP="00404B2F">
      <w:pPr>
        <w:pStyle w:val="ListParagraph"/>
        <w:numPr>
          <w:ilvl w:val="0"/>
          <w:numId w:val="17"/>
        </w:numPr>
        <w:rPr>
          <w:rFonts w:eastAsia="Calibri" w:cs="Times New Roman"/>
        </w:rPr>
      </w:pPr>
      <w:r>
        <w:rPr>
          <w:rFonts w:eastAsia="Calibri" w:cs="Times New Roman"/>
        </w:rPr>
        <w:t>Accreditation processes and program acceptance</w:t>
      </w:r>
    </w:p>
    <w:p w14:paraId="5F2DC58B" w14:textId="2A170B7C" w:rsidR="00404B2F" w:rsidRDefault="00404B2F" w:rsidP="00404B2F">
      <w:pPr>
        <w:pStyle w:val="ListParagraph"/>
        <w:numPr>
          <w:ilvl w:val="0"/>
          <w:numId w:val="17"/>
        </w:numPr>
        <w:rPr>
          <w:rFonts w:eastAsia="Calibri" w:cs="Times New Roman"/>
        </w:rPr>
      </w:pPr>
      <w:r>
        <w:rPr>
          <w:rFonts w:eastAsia="Calibri" w:cs="Times New Roman"/>
        </w:rPr>
        <w:t>Equipment ordering and delivery</w:t>
      </w:r>
    </w:p>
    <w:p w14:paraId="512057EE" w14:textId="7ACD4C67" w:rsidR="00404B2F" w:rsidRDefault="00404B2F" w:rsidP="00D348ED">
      <w:pPr>
        <w:pStyle w:val="ListParagraph"/>
        <w:numPr>
          <w:ilvl w:val="0"/>
          <w:numId w:val="17"/>
        </w:numPr>
        <w:rPr>
          <w:rFonts w:eastAsia="Calibri" w:cs="Times New Roman"/>
        </w:rPr>
      </w:pPr>
      <w:r>
        <w:rPr>
          <w:rFonts w:eastAsia="Calibri" w:cs="Times New Roman"/>
        </w:rPr>
        <w:t>Program changes to better align with industry standards (such as the extension of program hours)</w:t>
      </w:r>
    </w:p>
    <w:p w14:paraId="36FFA4A8" w14:textId="77777777" w:rsidR="00404B2F" w:rsidRPr="00404B2F" w:rsidRDefault="00404B2F" w:rsidP="00D348ED">
      <w:pPr>
        <w:spacing w:after="0" w:line="240" w:lineRule="auto"/>
        <w:rPr>
          <w:rFonts w:eastAsia="Calibri" w:cs="Times New Roman"/>
        </w:rPr>
      </w:pPr>
    </w:p>
    <w:p w14:paraId="79A7C0EC" w14:textId="07496D46" w:rsidR="00644420" w:rsidRDefault="00644420" w:rsidP="00D348ED">
      <w:pPr>
        <w:pStyle w:val="ListParagraph"/>
        <w:numPr>
          <w:ilvl w:val="0"/>
          <w:numId w:val="1"/>
        </w:numPr>
      </w:pPr>
      <w:r w:rsidRPr="00B3418A">
        <w:rPr>
          <w:b/>
        </w:rPr>
        <w:t>Internal collaboration included</w:t>
      </w:r>
      <w:r w:rsidRPr="00B3418A">
        <w:t>:</w:t>
      </w:r>
    </w:p>
    <w:p w14:paraId="26F1CD0E" w14:textId="60E95BA5" w:rsidR="00404B2F" w:rsidRDefault="00404B2F" w:rsidP="00D348ED">
      <w:pPr>
        <w:pStyle w:val="ListParagraph"/>
        <w:numPr>
          <w:ilvl w:val="1"/>
          <w:numId w:val="1"/>
        </w:numPr>
      </w:pPr>
      <w:r w:rsidRPr="00404B2F">
        <w:t xml:space="preserve">Job developers and faculty </w:t>
      </w:r>
      <w:r>
        <w:t>working together to provide student support</w:t>
      </w:r>
    </w:p>
    <w:p w14:paraId="736DACF8" w14:textId="1F4134DA" w:rsidR="00404B2F" w:rsidRDefault="00404B2F" w:rsidP="00D348ED">
      <w:pPr>
        <w:pStyle w:val="ListParagraph"/>
        <w:numPr>
          <w:ilvl w:val="1"/>
          <w:numId w:val="1"/>
        </w:numPr>
      </w:pPr>
      <w:r>
        <w:t>Site coordinators, department heads, and faculty working together to modify programs to better align with industry standards</w:t>
      </w:r>
    </w:p>
    <w:p w14:paraId="6C19E462" w14:textId="650DEFBA" w:rsidR="00404B2F" w:rsidRDefault="007D51E7" w:rsidP="00D348ED">
      <w:pPr>
        <w:pStyle w:val="ListParagraph"/>
        <w:numPr>
          <w:ilvl w:val="1"/>
          <w:numId w:val="1"/>
        </w:numPr>
      </w:pPr>
      <w:r>
        <w:t>Faculty and department heads across multiple departments working together to share equipment and supplies</w:t>
      </w:r>
    </w:p>
    <w:p w14:paraId="62B28E5B" w14:textId="34F8CBFD" w:rsidR="007D51E7" w:rsidRDefault="007D51E7" w:rsidP="00D348ED">
      <w:pPr>
        <w:pStyle w:val="ListParagraph"/>
        <w:numPr>
          <w:ilvl w:val="1"/>
          <w:numId w:val="1"/>
        </w:numPr>
      </w:pPr>
      <w:r>
        <w:t>Department heads, staff, and faculty working together to create shared simulations</w:t>
      </w:r>
      <w:r w:rsidR="00F70C83">
        <w:t xml:space="preserve"> at those schools where simulation equipment was purchased</w:t>
      </w:r>
    </w:p>
    <w:p w14:paraId="47B67D5B" w14:textId="77777777" w:rsidR="00D348ED" w:rsidRPr="00404B2F" w:rsidRDefault="00D348ED" w:rsidP="00D348ED">
      <w:pPr>
        <w:pStyle w:val="ListParagraph"/>
        <w:ind w:left="1440"/>
      </w:pPr>
    </w:p>
    <w:p w14:paraId="746B3F4D" w14:textId="66C3D0F3" w:rsidR="00644420" w:rsidRDefault="00644420" w:rsidP="00D348ED">
      <w:pPr>
        <w:pStyle w:val="ListParagraph"/>
        <w:numPr>
          <w:ilvl w:val="0"/>
          <w:numId w:val="1"/>
        </w:numPr>
      </w:pPr>
      <w:r w:rsidRPr="00B3418A">
        <w:rPr>
          <w:b/>
        </w:rPr>
        <w:t>Consortium-level collaboration included</w:t>
      </w:r>
      <w:r w:rsidRPr="00B3418A">
        <w:t>:</w:t>
      </w:r>
    </w:p>
    <w:p w14:paraId="0133DB50" w14:textId="170176FD" w:rsidR="00EE7B9F" w:rsidRDefault="00F70C83" w:rsidP="00D348ED">
      <w:pPr>
        <w:pStyle w:val="ListParagraph"/>
        <w:numPr>
          <w:ilvl w:val="0"/>
          <w:numId w:val="18"/>
        </w:numPr>
      </w:pPr>
      <w:r>
        <w:t>Site coordinators sharing success stories, challenges, and promising strategies with other site coordinators at monthly meetings</w:t>
      </w:r>
    </w:p>
    <w:p w14:paraId="2E3E9769" w14:textId="4D19A87D" w:rsidR="00F70C83" w:rsidRDefault="007A3B72" w:rsidP="00D348ED">
      <w:pPr>
        <w:pStyle w:val="ListParagraph"/>
        <w:numPr>
          <w:ilvl w:val="0"/>
          <w:numId w:val="18"/>
        </w:numPr>
      </w:pPr>
      <w:r>
        <w:t>Site coordinators</w:t>
      </w:r>
      <w:r w:rsidR="00F70C83">
        <w:t xml:space="preserve"> meeting at a </w:t>
      </w:r>
      <w:r>
        <w:t xml:space="preserve">national professional development </w:t>
      </w:r>
      <w:r w:rsidR="00F70C83">
        <w:t>event to share successes stories, challenges, and promising strategies</w:t>
      </w:r>
    </w:p>
    <w:p w14:paraId="1314DC98" w14:textId="3EF3DABC" w:rsidR="00F70C83" w:rsidRDefault="00F70C83" w:rsidP="00D348ED">
      <w:pPr>
        <w:pStyle w:val="ListParagraph"/>
        <w:numPr>
          <w:ilvl w:val="0"/>
          <w:numId w:val="18"/>
        </w:numPr>
      </w:pPr>
      <w:r>
        <w:t>Administrators and college leadership meeting to share information, challenges, and successes at a quarterly executive board meeting</w:t>
      </w:r>
    </w:p>
    <w:p w14:paraId="2C1B2D7F" w14:textId="77777777" w:rsidR="00D348ED" w:rsidRPr="00B3418A" w:rsidRDefault="00D348ED" w:rsidP="00D348ED">
      <w:pPr>
        <w:pStyle w:val="ListParagraph"/>
        <w:ind w:left="1440"/>
      </w:pPr>
    </w:p>
    <w:p w14:paraId="5686B3CA" w14:textId="77777777" w:rsidR="007D51E7" w:rsidRPr="007D51E7" w:rsidRDefault="00644420" w:rsidP="00D348ED">
      <w:pPr>
        <w:pStyle w:val="ListParagraph"/>
        <w:numPr>
          <w:ilvl w:val="0"/>
          <w:numId w:val="1"/>
        </w:numPr>
        <w:autoSpaceDE w:val="0"/>
        <w:autoSpaceDN w:val="0"/>
        <w:adjustRightInd w:val="0"/>
        <w:rPr>
          <w:rFonts w:cs="Arial"/>
          <w:bCs/>
          <w:i/>
          <w:color w:val="000000"/>
        </w:rPr>
      </w:pPr>
      <w:r w:rsidRPr="007D51E7">
        <w:rPr>
          <w:rFonts w:cs="Arial"/>
          <w:b/>
          <w:bCs/>
          <w:color w:val="000000"/>
        </w:rPr>
        <w:t>External collaboration included</w:t>
      </w:r>
      <w:r w:rsidRPr="007D51E7">
        <w:rPr>
          <w:rFonts w:cs="Arial"/>
          <w:bCs/>
          <w:color w:val="000000"/>
        </w:rPr>
        <w:t>:</w:t>
      </w:r>
    </w:p>
    <w:p w14:paraId="59B954FB" w14:textId="47D8024C" w:rsidR="00EE7B9F" w:rsidRPr="007D51E7" w:rsidRDefault="00EE7B9F" w:rsidP="00D348ED">
      <w:pPr>
        <w:pStyle w:val="ListParagraph"/>
        <w:numPr>
          <w:ilvl w:val="1"/>
          <w:numId w:val="2"/>
        </w:numPr>
        <w:autoSpaceDE w:val="0"/>
        <w:autoSpaceDN w:val="0"/>
        <w:adjustRightInd w:val="0"/>
        <w:rPr>
          <w:rFonts w:cs="Arial"/>
          <w:bCs/>
          <w:i/>
          <w:color w:val="000000"/>
        </w:rPr>
      </w:pPr>
      <w:r w:rsidRPr="007D51E7">
        <w:rPr>
          <w:rFonts w:cs="Arial"/>
          <w:bCs/>
          <w:color w:val="000000"/>
        </w:rPr>
        <w:t xml:space="preserve">Job developers </w:t>
      </w:r>
      <w:r w:rsidR="007D51E7">
        <w:rPr>
          <w:rFonts w:cs="Arial"/>
          <w:bCs/>
          <w:color w:val="000000"/>
        </w:rPr>
        <w:t xml:space="preserve">working with employers </w:t>
      </w:r>
      <w:r w:rsidR="007A3B72">
        <w:rPr>
          <w:rFonts w:cs="Arial"/>
          <w:bCs/>
          <w:color w:val="000000"/>
        </w:rPr>
        <w:t xml:space="preserve">and local One-Stops </w:t>
      </w:r>
      <w:r w:rsidR="007D51E7">
        <w:rPr>
          <w:rFonts w:cs="Arial"/>
          <w:bCs/>
          <w:color w:val="000000"/>
        </w:rPr>
        <w:t>to strengthen program curriculum, participate in classroom visits, host student tours, and collaborate on career fairs and mock interviews</w:t>
      </w:r>
    </w:p>
    <w:p w14:paraId="2AF555FA" w14:textId="76541DAD" w:rsidR="007D51E7" w:rsidRPr="007D51E7" w:rsidRDefault="007D51E7" w:rsidP="00D348ED">
      <w:pPr>
        <w:pStyle w:val="ListParagraph"/>
        <w:numPr>
          <w:ilvl w:val="1"/>
          <w:numId w:val="2"/>
        </w:numPr>
        <w:autoSpaceDE w:val="0"/>
        <w:autoSpaceDN w:val="0"/>
        <w:adjustRightInd w:val="0"/>
        <w:rPr>
          <w:rFonts w:cs="Arial"/>
          <w:bCs/>
          <w:i/>
          <w:color w:val="000000"/>
        </w:rPr>
      </w:pPr>
      <w:r>
        <w:rPr>
          <w:rFonts w:cs="Arial"/>
          <w:bCs/>
          <w:color w:val="000000"/>
        </w:rPr>
        <w:t>Job developers working with local employers to set up new clinical and externship sites</w:t>
      </w:r>
    </w:p>
    <w:p w14:paraId="16197D3A" w14:textId="140361D3" w:rsidR="007D51E7" w:rsidRPr="007D51E7" w:rsidRDefault="007D51E7" w:rsidP="00D348ED">
      <w:pPr>
        <w:pStyle w:val="ListParagraph"/>
        <w:numPr>
          <w:ilvl w:val="1"/>
          <w:numId w:val="2"/>
        </w:numPr>
        <w:autoSpaceDE w:val="0"/>
        <w:autoSpaceDN w:val="0"/>
        <w:adjustRightInd w:val="0"/>
        <w:rPr>
          <w:rFonts w:cs="Arial"/>
          <w:bCs/>
          <w:i/>
          <w:color w:val="000000"/>
        </w:rPr>
      </w:pPr>
      <w:r>
        <w:rPr>
          <w:rFonts w:cs="Arial"/>
          <w:bCs/>
          <w:color w:val="000000"/>
        </w:rPr>
        <w:t>Faculty and employers working together to integrate soft skills into curriculum</w:t>
      </w:r>
    </w:p>
    <w:p w14:paraId="60CC8563" w14:textId="3C999F16" w:rsidR="007D51E7" w:rsidRPr="007D51E7" w:rsidRDefault="007D51E7" w:rsidP="00D348ED">
      <w:pPr>
        <w:pStyle w:val="ListParagraph"/>
        <w:numPr>
          <w:ilvl w:val="1"/>
          <w:numId w:val="2"/>
        </w:numPr>
        <w:autoSpaceDE w:val="0"/>
        <w:autoSpaceDN w:val="0"/>
        <w:adjustRightInd w:val="0"/>
        <w:rPr>
          <w:rFonts w:cs="Arial"/>
          <w:bCs/>
          <w:i/>
          <w:color w:val="000000"/>
        </w:rPr>
      </w:pPr>
      <w:r>
        <w:rPr>
          <w:rFonts w:cs="Arial"/>
          <w:bCs/>
          <w:color w:val="000000"/>
        </w:rPr>
        <w:t>Staff at schools with new simulation equipment hosting open houses and tours to invite local employers and community members to see new program space</w:t>
      </w:r>
    </w:p>
    <w:p w14:paraId="571FB675" w14:textId="77777777" w:rsidR="007A3B72" w:rsidRPr="00B3418A" w:rsidRDefault="007A3B72" w:rsidP="00D348ED">
      <w:pPr>
        <w:autoSpaceDE w:val="0"/>
        <w:autoSpaceDN w:val="0"/>
        <w:adjustRightInd w:val="0"/>
        <w:spacing w:after="0" w:line="240" w:lineRule="auto"/>
        <w:rPr>
          <w:rFonts w:ascii="Palatino Linotype" w:hAnsi="Palatino Linotype" w:cs="Arial"/>
          <w:bCs/>
          <w:i/>
          <w:color w:val="000000"/>
        </w:rPr>
      </w:pPr>
    </w:p>
    <w:p w14:paraId="545004EF" w14:textId="77777777" w:rsidR="00644420" w:rsidRPr="00B3418A" w:rsidRDefault="00644420" w:rsidP="00D348ED">
      <w:pPr>
        <w:pStyle w:val="Heading2"/>
      </w:pPr>
      <w:bookmarkStart w:id="22" w:name="_Toc514318064"/>
      <w:bookmarkStart w:id="23" w:name="_Toc470209841"/>
      <w:bookmarkStart w:id="24" w:name="_Toc525550489"/>
      <w:r w:rsidRPr="00B3418A">
        <w:t>Strengths and Weakness at the College Level</w:t>
      </w:r>
      <w:bookmarkEnd w:id="22"/>
      <w:bookmarkEnd w:id="23"/>
      <w:bookmarkEnd w:id="24"/>
    </w:p>
    <w:p w14:paraId="14C1A39C" w14:textId="77777777" w:rsidR="00D50165" w:rsidRDefault="00D50165" w:rsidP="00D348ED">
      <w:pPr>
        <w:spacing w:after="0" w:line="240" w:lineRule="auto"/>
        <w:rPr>
          <w:rFonts w:ascii="Palatino Linotype" w:hAnsi="Palatino Linotype" w:cs="Arial"/>
          <w:bCs/>
          <w:color w:val="000000"/>
        </w:rPr>
      </w:pPr>
    </w:p>
    <w:p w14:paraId="1E2BE7ED" w14:textId="5C5FA025" w:rsidR="00F70C83" w:rsidRDefault="00F70C83" w:rsidP="00D348ED">
      <w:pPr>
        <w:spacing w:after="0" w:line="240" w:lineRule="auto"/>
        <w:rPr>
          <w:rFonts w:ascii="Palatino Linotype" w:hAnsi="Palatino Linotype" w:cs="Arial"/>
          <w:bCs/>
          <w:color w:val="000000"/>
        </w:rPr>
      </w:pPr>
      <w:r>
        <w:rPr>
          <w:rFonts w:ascii="Palatino Linotype" w:hAnsi="Palatino Linotype" w:cs="Arial"/>
          <w:bCs/>
          <w:color w:val="000000"/>
        </w:rPr>
        <w:t>There were a variety of strengths and weakness among consortium schools.</w:t>
      </w:r>
    </w:p>
    <w:p w14:paraId="5B8F8B93" w14:textId="77777777" w:rsidR="00D348ED" w:rsidRDefault="00D348ED" w:rsidP="00D348ED">
      <w:pPr>
        <w:spacing w:after="0" w:line="240" w:lineRule="auto"/>
        <w:rPr>
          <w:rFonts w:ascii="Palatino Linotype" w:hAnsi="Palatino Linotype" w:cs="Arial"/>
          <w:bCs/>
          <w:color w:val="000000"/>
        </w:rPr>
      </w:pPr>
    </w:p>
    <w:p w14:paraId="5F0A4250" w14:textId="156D26FF" w:rsidR="00644420" w:rsidRDefault="00644420" w:rsidP="00D348ED">
      <w:pPr>
        <w:spacing w:after="0" w:line="240" w:lineRule="auto"/>
        <w:rPr>
          <w:rFonts w:ascii="Palatino Linotype" w:hAnsi="Palatino Linotype" w:cs="Arial"/>
          <w:bCs/>
          <w:color w:val="000000"/>
        </w:rPr>
      </w:pPr>
      <w:r w:rsidRPr="00B3418A">
        <w:rPr>
          <w:rFonts w:ascii="Palatino Linotype" w:hAnsi="Palatino Linotype" w:cs="Arial"/>
          <w:bCs/>
          <w:color w:val="000000"/>
        </w:rPr>
        <w:t>Relative to strengths, most schools effectively:</w:t>
      </w:r>
    </w:p>
    <w:p w14:paraId="2AF93375" w14:textId="77777777" w:rsidR="00F70C83" w:rsidRPr="00F70C83" w:rsidRDefault="00F70C83" w:rsidP="00D348ED">
      <w:pPr>
        <w:pStyle w:val="ListParagraph"/>
        <w:numPr>
          <w:ilvl w:val="0"/>
          <w:numId w:val="1"/>
        </w:numPr>
        <w:rPr>
          <w:rFonts w:cs="Arial"/>
          <w:bCs/>
          <w:color w:val="000000"/>
        </w:rPr>
      </w:pPr>
      <w:r w:rsidRPr="00F70C83">
        <w:rPr>
          <w:rFonts w:cs="Arial"/>
          <w:bCs/>
          <w:color w:val="000000"/>
        </w:rPr>
        <w:lastRenderedPageBreak/>
        <w:t>Collaborated internally and externally to build stronger programs that were better tailored to their respective job markets</w:t>
      </w:r>
    </w:p>
    <w:p w14:paraId="177DCB72" w14:textId="214B056D" w:rsidR="00F70C83" w:rsidRDefault="00216560" w:rsidP="00D348ED">
      <w:pPr>
        <w:pStyle w:val="ListParagraph"/>
        <w:numPr>
          <w:ilvl w:val="0"/>
          <w:numId w:val="1"/>
        </w:numPr>
        <w:rPr>
          <w:rFonts w:cs="Arial"/>
          <w:bCs/>
          <w:color w:val="000000"/>
        </w:rPr>
      </w:pPr>
      <w:r>
        <w:rPr>
          <w:rFonts w:cs="Arial"/>
          <w:bCs/>
          <w:color w:val="000000"/>
        </w:rPr>
        <w:t>Embedded SmartStart and EdReady into their TAACCCT programming</w:t>
      </w:r>
    </w:p>
    <w:p w14:paraId="561BE04B" w14:textId="111A3949" w:rsidR="00216560" w:rsidRDefault="00216560" w:rsidP="00D348ED">
      <w:pPr>
        <w:pStyle w:val="ListParagraph"/>
        <w:numPr>
          <w:ilvl w:val="0"/>
          <w:numId w:val="1"/>
        </w:numPr>
        <w:rPr>
          <w:rFonts w:cs="Arial"/>
          <w:bCs/>
          <w:color w:val="000000"/>
        </w:rPr>
      </w:pPr>
      <w:r>
        <w:rPr>
          <w:rFonts w:cs="Arial"/>
          <w:bCs/>
          <w:color w:val="000000"/>
        </w:rPr>
        <w:t>Developed the job developer role to assist students with job readiness skills and interview preparation</w:t>
      </w:r>
    </w:p>
    <w:p w14:paraId="36146FB3" w14:textId="25D650AA" w:rsidR="00216560" w:rsidRDefault="00216560" w:rsidP="00D348ED">
      <w:pPr>
        <w:pStyle w:val="ListParagraph"/>
        <w:numPr>
          <w:ilvl w:val="0"/>
          <w:numId w:val="1"/>
        </w:numPr>
        <w:rPr>
          <w:rFonts w:cs="Arial"/>
          <w:bCs/>
          <w:color w:val="000000"/>
        </w:rPr>
      </w:pPr>
      <w:r>
        <w:rPr>
          <w:rFonts w:cs="Arial"/>
          <w:bCs/>
          <w:color w:val="000000"/>
        </w:rPr>
        <w:t>Created effective internships/externships/clinical experiences for students to gain hands-on learning experiences</w:t>
      </w:r>
    </w:p>
    <w:p w14:paraId="29E15656" w14:textId="04354EDB" w:rsidR="00216560" w:rsidRPr="00F70C83" w:rsidRDefault="00216560" w:rsidP="00D348ED">
      <w:pPr>
        <w:pStyle w:val="ListParagraph"/>
        <w:numPr>
          <w:ilvl w:val="0"/>
          <w:numId w:val="1"/>
        </w:numPr>
        <w:rPr>
          <w:rFonts w:cs="Arial"/>
          <w:bCs/>
          <w:color w:val="000000"/>
        </w:rPr>
      </w:pPr>
      <w:r>
        <w:rPr>
          <w:rFonts w:cs="Arial"/>
          <w:bCs/>
          <w:color w:val="000000"/>
        </w:rPr>
        <w:t>Integrated networking sessions for students to learn vital information and skills outside regular classroom learning</w:t>
      </w:r>
    </w:p>
    <w:p w14:paraId="4719EA66" w14:textId="48421768" w:rsidR="00644420" w:rsidRPr="00B3418A" w:rsidRDefault="00644420" w:rsidP="00D348ED">
      <w:pPr>
        <w:spacing w:after="0" w:line="240" w:lineRule="auto"/>
        <w:rPr>
          <w:rFonts w:ascii="Palatino Linotype" w:hAnsi="Palatino Linotype"/>
          <w:b/>
        </w:rPr>
      </w:pPr>
    </w:p>
    <w:p w14:paraId="2A88CE25" w14:textId="73FC11DA" w:rsidR="00644420" w:rsidRDefault="00644420" w:rsidP="00D348ED">
      <w:pPr>
        <w:spacing w:after="0" w:line="240" w:lineRule="auto"/>
        <w:rPr>
          <w:rFonts w:ascii="Palatino Linotype" w:hAnsi="Palatino Linotype"/>
        </w:rPr>
      </w:pPr>
      <w:r w:rsidRPr="00B3418A">
        <w:rPr>
          <w:rFonts w:ascii="Palatino Linotype" w:hAnsi="Palatino Linotype"/>
        </w:rPr>
        <w:t>Relative to weaknesses, some schools had difficulty:</w:t>
      </w:r>
    </w:p>
    <w:p w14:paraId="2845BDBA" w14:textId="77777777" w:rsidR="00D348ED" w:rsidRDefault="00D348ED" w:rsidP="00D348ED">
      <w:pPr>
        <w:spacing w:after="0" w:line="240" w:lineRule="auto"/>
        <w:rPr>
          <w:rFonts w:ascii="Palatino Linotype" w:hAnsi="Palatino Linotype"/>
        </w:rPr>
      </w:pPr>
    </w:p>
    <w:p w14:paraId="142AD7F3" w14:textId="0426343A" w:rsidR="00216560" w:rsidRDefault="00216560" w:rsidP="00D348ED">
      <w:pPr>
        <w:pStyle w:val="ListParagraph"/>
        <w:numPr>
          <w:ilvl w:val="0"/>
          <w:numId w:val="19"/>
        </w:numPr>
      </w:pPr>
      <w:r>
        <w:t>Hiring or retaining job developers</w:t>
      </w:r>
    </w:p>
    <w:p w14:paraId="48AE4FE4" w14:textId="53699FAB" w:rsidR="00216560" w:rsidRDefault="00216560" w:rsidP="00D348ED">
      <w:pPr>
        <w:pStyle w:val="ListParagraph"/>
        <w:numPr>
          <w:ilvl w:val="0"/>
          <w:numId w:val="19"/>
        </w:numPr>
      </w:pPr>
      <w:r>
        <w:t>With staff turnover in leadership positions, such as site coordinators</w:t>
      </w:r>
      <w:r w:rsidR="00D50165">
        <w:t xml:space="preserve">, </w:t>
      </w:r>
      <w:r>
        <w:t>department deans</w:t>
      </w:r>
      <w:r w:rsidR="00D50165">
        <w:t>, or higher-level college leaders</w:t>
      </w:r>
    </w:p>
    <w:p w14:paraId="0257DE48" w14:textId="18C5403C" w:rsidR="00216560" w:rsidRDefault="00216560" w:rsidP="00D348ED">
      <w:pPr>
        <w:pStyle w:val="ListParagraph"/>
        <w:numPr>
          <w:ilvl w:val="0"/>
          <w:numId w:val="19"/>
        </w:numPr>
      </w:pPr>
      <w:r>
        <w:t>Filling enrollment quotas in some programs; some schools discontinued some programs because enrollments were too low</w:t>
      </w:r>
    </w:p>
    <w:p w14:paraId="623DF2C5" w14:textId="0B9D9512" w:rsidR="00216560" w:rsidRDefault="00216560" w:rsidP="00D348ED">
      <w:pPr>
        <w:pStyle w:val="ListParagraph"/>
        <w:numPr>
          <w:ilvl w:val="0"/>
          <w:numId w:val="19"/>
        </w:numPr>
      </w:pPr>
      <w:r>
        <w:t xml:space="preserve">Getting up to speed with the Salesforce data management system; the grant data manager made </w:t>
      </w:r>
      <w:r w:rsidR="001D5492">
        <w:t>multiple</w:t>
      </w:r>
      <w:r>
        <w:t xml:space="preserve"> visits to schools to help them learn the system</w:t>
      </w:r>
      <w:r w:rsidR="007A3B72">
        <w:t xml:space="preserve"> including </w:t>
      </w:r>
      <w:r w:rsidR="00D50165">
        <w:t xml:space="preserve">training </w:t>
      </w:r>
      <w:r w:rsidR="007A3B72">
        <w:t>new staff</w:t>
      </w:r>
    </w:p>
    <w:p w14:paraId="23A9B075" w14:textId="6B2EAE84" w:rsidR="00216560" w:rsidRDefault="00216560" w:rsidP="00D348ED">
      <w:pPr>
        <w:pStyle w:val="ListParagraph"/>
        <w:numPr>
          <w:ilvl w:val="0"/>
          <w:numId w:val="19"/>
        </w:numPr>
      </w:pPr>
      <w:r>
        <w:t>Understanding the Thomas Edison State University (TESU) credit-transfer program</w:t>
      </w:r>
    </w:p>
    <w:p w14:paraId="78E9DF95" w14:textId="5CF49593" w:rsidR="00216560" w:rsidRDefault="00216560" w:rsidP="00D348ED">
      <w:pPr>
        <w:pStyle w:val="ListParagraph"/>
        <w:numPr>
          <w:ilvl w:val="0"/>
          <w:numId w:val="19"/>
        </w:numPr>
      </w:pPr>
      <w:r>
        <w:t>Securing institutional buy-in for noncredit to credit program articulation</w:t>
      </w:r>
    </w:p>
    <w:p w14:paraId="2E1AFE92" w14:textId="3566FE50" w:rsidR="00216560" w:rsidRPr="00216560" w:rsidRDefault="00216560" w:rsidP="00D348ED">
      <w:pPr>
        <w:pStyle w:val="ListParagraph"/>
        <w:numPr>
          <w:ilvl w:val="0"/>
          <w:numId w:val="19"/>
        </w:numPr>
      </w:pPr>
      <w:r>
        <w:t xml:space="preserve">Securing institutional buy-in to restructure the prior learning assessment process </w:t>
      </w:r>
    </w:p>
    <w:p w14:paraId="47718E2E" w14:textId="6A684B8E" w:rsidR="00644420" w:rsidRPr="00B3418A" w:rsidRDefault="00644420" w:rsidP="00D348ED">
      <w:pPr>
        <w:spacing w:after="0" w:line="240" w:lineRule="auto"/>
        <w:contextualSpacing/>
        <w:rPr>
          <w:rFonts w:ascii="Palatino Linotype" w:hAnsi="Palatino Linotype"/>
          <w:b/>
        </w:rPr>
      </w:pPr>
    </w:p>
    <w:p w14:paraId="74FF7AEA" w14:textId="3297EAC4" w:rsidR="00644420" w:rsidRDefault="00644420" w:rsidP="00D348ED">
      <w:pPr>
        <w:pStyle w:val="Heading1"/>
        <w:numPr>
          <w:ilvl w:val="0"/>
          <w:numId w:val="3"/>
        </w:numPr>
        <w:contextualSpacing/>
      </w:pPr>
      <w:bookmarkStart w:id="25" w:name="_Toc514318065"/>
      <w:bookmarkStart w:id="26" w:name="_Toc470209842"/>
      <w:bookmarkStart w:id="27" w:name="_Toc525550490"/>
      <w:r w:rsidRPr="00B3418A">
        <w:t>Participant Impacts and Outcomes</w:t>
      </w:r>
      <w:bookmarkEnd w:id="25"/>
      <w:bookmarkEnd w:id="26"/>
      <w:bookmarkEnd w:id="27"/>
    </w:p>
    <w:p w14:paraId="09162218" w14:textId="77777777" w:rsidR="00216560" w:rsidRPr="00216560" w:rsidRDefault="00216560" w:rsidP="00D348ED">
      <w:pPr>
        <w:spacing w:after="0" w:line="240" w:lineRule="auto"/>
        <w:contextualSpacing/>
      </w:pPr>
    </w:p>
    <w:p w14:paraId="0C5A226A" w14:textId="411D9027" w:rsidR="00216560" w:rsidRDefault="00216560" w:rsidP="00D348ED">
      <w:pPr>
        <w:spacing w:after="0" w:line="240" w:lineRule="auto"/>
        <w:contextualSpacing/>
        <w:rPr>
          <w:rFonts w:ascii="Palatino Linotype" w:hAnsi="Palatino Linotype"/>
        </w:rPr>
      </w:pPr>
      <w:r w:rsidRPr="00216560">
        <w:rPr>
          <w:rFonts w:ascii="Palatino Linotype" w:hAnsi="Palatino Linotype"/>
        </w:rPr>
        <w:t>The Consortium enrolled a total of 3,5</w:t>
      </w:r>
      <w:r>
        <w:rPr>
          <w:rFonts w:ascii="Palatino Linotype" w:hAnsi="Palatino Linotype"/>
        </w:rPr>
        <w:t>42</w:t>
      </w:r>
      <w:r w:rsidRPr="00216560">
        <w:rPr>
          <w:rFonts w:ascii="Palatino Linotype" w:hAnsi="Palatino Linotype"/>
        </w:rPr>
        <w:t xml:space="preserve"> participants in TAACCCT programs.</w:t>
      </w:r>
    </w:p>
    <w:p w14:paraId="262FF964" w14:textId="77777777" w:rsidR="00D348ED" w:rsidRPr="00216560" w:rsidRDefault="00D348ED" w:rsidP="00D348ED">
      <w:pPr>
        <w:spacing w:after="0" w:line="240" w:lineRule="auto"/>
        <w:contextualSpacing/>
        <w:rPr>
          <w:rFonts w:ascii="Palatino Linotype" w:hAnsi="Palatino Linotype"/>
        </w:rPr>
      </w:pPr>
    </w:p>
    <w:tbl>
      <w:tblPr>
        <w:tblStyle w:val="ListTable4-Accent21"/>
        <w:tblW w:w="0" w:type="auto"/>
        <w:tblInd w:w="0" w:type="dxa"/>
        <w:tblLook w:val="04A0" w:firstRow="1" w:lastRow="0" w:firstColumn="1" w:lastColumn="0" w:noHBand="0" w:noVBand="1"/>
        <w:tblCaption w:val="participant enrollment number and percentage by school"/>
        <w:tblDescription w:val="list of schools with enrollment number and percentage of total enrollment"/>
      </w:tblPr>
      <w:tblGrid>
        <w:gridCol w:w="1146"/>
        <w:gridCol w:w="2012"/>
        <w:gridCol w:w="2247"/>
      </w:tblGrid>
      <w:tr w:rsidR="00216560" w:rsidRPr="00B870C7" w14:paraId="06271737" w14:textId="77777777" w:rsidTr="00E0205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D98DB28" w14:textId="77777777" w:rsidR="00216560" w:rsidRPr="00B870C7" w:rsidRDefault="00216560" w:rsidP="00D348ED">
            <w:pPr>
              <w:jc w:val="cente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School</w:t>
            </w:r>
          </w:p>
        </w:tc>
        <w:tc>
          <w:tcPr>
            <w:tcW w:w="0" w:type="auto"/>
            <w:hideMark/>
          </w:tcPr>
          <w:p w14:paraId="7C1C6797" w14:textId="77777777" w:rsidR="00216560" w:rsidRPr="00B870C7" w:rsidRDefault="00216560" w:rsidP="00D348ED">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Enrollment Number</w:t>
            </w:r>
          </w:p>
        </w:tc>
        <w:tc>
          <w:tcPr>
            <w:tcW w:w="0" w:type="auto"/>
            <w:hideMark/>
          </w:tcPr>
          <w:p w14:paraId="68BF18CB" w14:textId="77777777" w:rsidR="00216560" w:rsidRPr="00B870C7" w:rsidRDefault="00216560" w:rsidP="00D348ED">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 of Total Enrollments</w:t>
            </w:r>
          </w:p>
        </w:tc>
      </w:tr>
      <w:tr w:rsidR="00216560" w:rsidRPr="00B870C7" w14:paraId="3ED0685B"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24B248F0"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Bergen</w:t>
            </w:r>
          </w:p>
        </w:tc>
        <w:tc>
          <w:tcPr>
            <w:tcW w:w="0" w:type="auto"/>
            <w:hideMark/>
          </w:tcPr>
          <w:p w14:paraId="66A4DC41"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362</w:t>
            </w:r>
          </w:p>
        </w:tc>
        <w:tc>
          <w:tcPr>
            <w:tcW w:w="0" w:type="auto"/>
            <w:hideMark/>
          </w:tcPr>
          <w:p w14:paraId="5DA284E0"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10.22</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11C7CE9F"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5C4042E0"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Brookdale</w:t>
            </w:r>
          </w:p>
        </w:tc>
        <w:tc>
          <w:tcPr>
            <w:tcW w:w="0" w:type="auto"/>
            <w:hideMark/>
          </w:tcPr>
          <w:p w14:paraId="285260B8"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253</w:t>
            </w:r>
          </w:p>
        </w:tc>
        <w:tc>
          <w:tcPr>
            <w:tcW w:w="0" w:type="auto"/>
            <w:hideMark/>
          </w:tcPr>
          <w:p w14:paraId="7B554869"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7.14</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221DE18E"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394E6196"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Essex</w:t>
            </w:r>
          </w:p>
        </w:tc>
        <w:tc>
          <w:tcPr>
            <w:tcW w:w="0" w:type="auto"/>
            <w:hideMark/>
          </w:tcPr>
          <w:p w14:paraId="0F027756"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334</w:t>
            </w:r>
          </w:p>
        </w:tc>
        <w:tc>
          <w:tcPr>
            <w:tcW w:w="0" w:type="auto"/>
            <w:hideMark/>
          </w:tcPr>
          <w:p w14:paraId="6CA8C86D"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9.43</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27CF3419"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6F62C40C"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Hudson</w:t>
            </w:r>
          </w:p>
        </w:tc>
        <w:tc>
          <w:tcPr>
            <w:tcW w:w="0" w:type="auto"/>
            <w:hideMark/>
          </w:tcPr>
          <w:p w14:paraId="3B07FACB"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186</w:t>
            </w:r>
          </w:p>
        </w:tc>
        <w:tc>
          <w:tcPr>
            <w:tcW w:w="0" w:type="auto"/>
            <w:hideMark/>
          </w:tcPr>
          <w:p w14:paraId="3C2D1018"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5.25</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066ED04E"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530E7295"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Mercer</w:t>
            </w:r>
          </w:p>
        </w:tc>
        <w:tc>
          <w:tcPr>
            <w:tcW w:w="0" w:type="auto"/>
            <w:hideMark/>
          </w:tcPr>
          <w:p w14:paraId="6C4E8D40"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407</w:t>
            </w:r>
          </w:p>
        </w:tc>
        <w:tc>
          <w:tcPr>
            <w:tcW w:w="0" w:type="auto"/>
            <w:hideMark/>
          </w:tcPr>
          <w:p w14:paraId="1C8DC943"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11.49</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74DAE0BE"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643A065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Middlesex</w:t>
            </w:r>
          </w:p>
        </w:tc>
        <w:tc>
          <w:tcPr>
            <w:tcW w:w="0" w:type="auto"/>
            <w:hideMark/>
          </w:tcPr>
          <w:p w14:paraId="2111444B"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343</w:t>
            </w:r>
          </w:p>
        </w:tc>
        <w:tc>
          <w:tcPr>
            <w:tcW w:w="0" w:type="auto"/>
            <w:hideMark/>
          </w:tcPr>
          <w:p w14:paraId="2E75B62E"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9.68</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759B0941"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0BECD7A8"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Morris</w:t>
            </w:r>
          </w:p>
        </w:tc>
        <w:tc>
          <w:tcPr>
            <w:tcW w:w="0" w:type="auto"/>
            <w:hideMark/>
          </w:tcPr>
          <w:p w14:paraId="1819FA9C"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156</w:t>
            </w:r>
          </w:p>
        </w:tc>
        <w:tc>
          <w:tcPr>
            <w:tcW w:w="0" w:type="auto"/>
            <w:hideMark/>
          </w:tcPr>
          <w:p w14:paraId="37AFFD73"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4.40</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20473617"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57BEF2B4"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NJ HCTN</w:t>
            </w:r>
          </w:p>
        </w:tc>
        <w:tc>
          <w:tcPr>
            <w:tcW w:w="0" w:type="auto"/>
            <w:hideMark/>
          </w:tcPr>
          <w:p w14:paraId="5371D967"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36</w:t>
            </w:r>
          </w:p>
        </w:tc>
        <w:tc>
          <w:tcPr>
            <w:tcW w:w="0" w:type="auto"/>
            <w:hideMark/>
          </w:tcPr>
          <w:p w14:paraId="51AE217A"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1.02</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55CFAD15"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66F2D1FE"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Ocean</w:t>
            </w:r>
          </w:p>
        </w:tc>
        <w:tc>
          <w:tcPr>
            <w:tcW w:w="0" w:type="auto"/>
            <w:hideMark/>
          </w:tcPr>
          <w:p w14:paraId="0C6EDB9D"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440</w:t>
            </w:r>
          </w:p>
        </w:tc>
        <w:tc>
          <w:tcPr>
            <w:tcW w:w="0" w:type="auto"/>
            <w:hideMark/>
          </w:tcPr>
          <w:p w14:paraId="13EBBD73"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12.42</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285BA359"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1B2FE356"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Passaic</w:t>
            </w:r>
          </w:p>
        </w:tc>
        <w:tc>
          <w:tcPr>
            <w:tcW w:w="0" w:type="auto"/>
            <w:hideMark/>
          </w:tcPr>
          <w:p w14:paraId="17311284"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378</w:t>
            </w:r>
          </w:p>
        </w:tc>
        <w:tc>
          <w:tcPr>
            <w:tcW w:w="0" w:type="auto"/>
            <w:hideMark/>
          </w:tcPr>
          <w:p w14:paraId="50A0153D"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10.67</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508AE919"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5E964D2B"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 xml:space="preserve">Raritan </w:t>
            </w:r>
          </w:p>
        </w:tc>
        <w:tc>
          <w:tcPr>
            <w:tcW w:w="0" w:type="auto"/>
            <w:hideMark/>
          </w:tcPr>
          <w:p w14:paraId="471B6188"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168</w:t>
            </w:r>
          </w:p>
        </w:tc>
        <w:tc>
          <w:tcPr>
            <w:tcW w:w="0" w:type="auto"/>
            <w:hideMark/>
          </w:tcPr>
          <w:p w14:paraId="0079825D"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4.74</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51F31CF8"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7C1D5093"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Sussex</w:t>
            </w:r>
          </w:p>
        </w:tc>
        <w:tc>
          <w:tcPr>
            <w:tcW w:w="0" w:type="auto"/>
            <w:hideMark/>
          </w:tcPr>
          <w:p w14:paraId="0BA923AC"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279</w:t>
            </w:r>
          </w:p>
        </w:tc>
        <w:tc>
          <w:tcPr>
            <w:tcW w:w="0" w:type="auto"/>
            <w:hideMark/>
          </w:tcPr>
          <w:p w14:paraId="72CA3228"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7.88</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68B67F65" w14:textId="77777777" w:rsidTr="00E020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76AB3A6B"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Union</w:t>
            </w:r>
          </w:p>
        </w:tc>
        <w:tc>
          <w:tcPr>
            <w:tcW w:w="0" w:type="auto"/>
            <w:hideMark/>
          </w:tcPr>
          <w:p w14:paraId="21ED2365"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200</w:t>
            </w:r>
          </w:p>
        </w:tc>
        <w:tc>
          <w:tcPr>
            <w:tcW w:w="0" w:type="auto"/>
            <w:hideMark/>
          </w:tcPr>
          <w:p w14:paraId="21738B5F"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5.65</w:t>
            </w:r>
            <w:r w:rsidRPr="00B870C7">
              <w:rPr>
                <w:rFonts w:ascii="Palatino Linotype" w:eastAsia="Palatino Linotype,Times New Rom" w:hAnsi="Palatino Linotype" w:cs="Palatino Linotype,Times New Rom"/>
                <w:color w:val="000000" w:themeColor="text1"/>
                <w:sz w:val="20"/>
                <w:szCs w:val="20"/>
              </w:rPr>
              <w:t>%</w:t>
            </w:r>
          </w:p>
        </w:tc>
      </w:tr>
      <w:tr w:rsidR="00216560" w:rsidRPr="00B870C7" w14:paraId="45A4F40F" w14:textId="77777777" w:rsidTr="00E0205C">
        <w:trPr>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3C423543"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Total</w:t>
            </w:r>
          </w:p>
        </w:tc>
        <w:tc>
          <w:tcPr>
            <w:tcW w:w="0" w:type="auto"/>
            <w:hideMark/>
          </w:tcPr>
          <w:p w14:paraId="53021093"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3542</w:t>
            </w:r>
          </w:p>
        </w:tc>
        <w:tc>
          <w:tcPr>
            <w:tcW w:w="0" w:type="auto"/>
            <w:hideMark/>
          </w:tcPr>
          <w:p w14:paraId="1142AAF3"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100%</w:t>
            </w:r>
          </w:p>
        </w:tc>
      </w:tr>
    </w:tbl>
    <w:p w14:paraId="6BACF5AB" w14:textId="77777777" w:rsidR="00216560" w:rsidRDefault="00216560" w:rsidP="00216560">
      <w:pPr>
        <w:pStyle w:val="ListParagraph"/>
      </w:pPr>
    </w:p>
    <w:p w14:paraId="70039D11" w14:textId="037C59C9" w:rsidR="00216560" w:rsidRDefault="00216560" w:rsidP="00216560">
      <w:pPr>
        <w:pStyle w:val="ListParagraph"/>
        <w:numPr>
          <w:ilvl w:val="0"/>
          <w:numId w:val="24"/>
        </w:numPr>
      </w:pPr>
      <w:r w:rsidRPr="00216560">
        <w:t>Students enrolled in 31 different programs offered by the Consortium. A few of these programs accounted for a very high number of enrollments, including the nursing assistant programs (18 percent of enrollments), phlebotomy (10 percent of enrollments), and clinical medical assistant (9 percent). Others accounted for moderate numbers of enrollments including home health aide (6 percent), administrative medical assistant (5 percent), EKG (6 percent), EMT (5 percent), and pharmacy technician (4 percent).</w:t>
      </w:r>
    </w:p>
    <w:p w14:paraId="548D2266" w14:textId="77777777" w:rsidR="00216560" w:rsidRDefault="00216560" w:rsidP="00216560">
      <w:pPr>
        <w:pStyle w:val="ListParagraph"/>
      </w:pPr>
    </w:p>
    <w:tbl>
      <w:tblPr>
        <w:tblStyle w:val="ListTable4-Accent21"/>
        <w:tblW w:w="0" w:type="auto"/>
        <w:tblInd w:w="0" w:type="dxa"/>
        <w:tblLook w:val="04A0" w:firstRow="1" w:lastRow="0" w:firstColumn="1" w:lastColumn="0" w:noHBand="0" w:noVBand="1"/>
        <w:tblCaption w:val="program with number of enrollments and percentage of total enrollments"/>
        <w:tblDescription w:val="list of program enrollments and number of students enrolled with percentage of total enrollments"/>
      </w:tblPr>
      <w:tblGrid>
        <w:gridCol w:w="3614"/>
        <w:gridCol w:w="1214"/>
        <w:gridCol w:w="2022"/>
      </w:tblGrid>
      <w:tr w:rsidR="00216560" w:rsidRPr="00B870C7" w14:paraId="252B0926" w14:textId="77777777" w:rsidTr="00E020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531EB4A" w14:textId="77777777" w:rsidR="00216560" w:rsidRPr="00B870C7" w:rsidRDefault="00216560" w:rsidP="00D348ED">
            <w:pPr>
              <w:rPr>
                <w:rFonts w:ascii="Palatino Linotype" w:eastAsia="Times New Roman" w:hAnsi="Palatino Linotype"/>
              </w:rPr>
            </w:pPr>
            <w:r w:rsidRPr="00B870C7">
              <w:rPr>
                <w:rFonts w:ascii="Palatino Linotype" w:eastAsia="Times New Roman" w:hAnsi="Palatino Linotype"/>
                <w:b w:val="0"/>
                <w:bCs w:val="0"/>
                <w:color w:val="FFFFFF"/>
              </w:rPr>
              <w:tab/>
            </w:r>
            <w:r w:rsidRPr="00B870C7">
              <w:rPr>
                <w:rFonts w:ascii="Palatino Linotype" w:eastAsia="Palatino Linotype" w:hAnsi="Palatino Linotype" w:cs="Palatino Linotype"/>
                <w:b w:val="0"/>
                <w:bCs w:val="0"/>
                <w:color w:val="000000"/>
                <w:sz w:val="20"/>
                <w:szCs w:val="20"/>
              </w:rPr>
              <w:t>Program</w:t>
            </w:r>
          </w:p>
        </w:tc>
        <w:tc>
          <w:tcPr>
            <w:tcW w:w="0" w:type="auto"/>
            <w:hideMark/>
          </w:tcPr>
          <w:p w14:paraId="471C714A" w14:textId="77777777" w:rsidR="00216560" w:rsidRPr="00B870C7" w:rsidRDefault="00216560" w:rsidP="00D348ED">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Enrollment</w:t>
            </w:r>
          </w:p>
        </w:tc>
        <w:tc>
          <w:tcPr>
            <w:tcW w:w="0" w:type="auto"/>
            <w:hideMark/>
          </w:tcPr>
          <w:p w14:paraId="293303F1" w14:textId="77777777" w:rsidR="00216560" w:rsidRPr="00B870C7" w:rsidRDefault="00216560" w:rsidP="00D348ED">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 Total Enrollments</w:t>
            </w:r>
          </w:p>
        </w:tc>
      </w:tr>
      <w:tr w:rsidR="00216560" w:rsidRPr="00B870C7" w14:paraId="59CD4661"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0AAD0D"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Home Health Aide</w:t>
            </w:r>
            <w:r w:rsidRPr="00B870C7">
              <w:rPr>
                <w:rFonts w:ascii="Palatino Linotype" w:eastAsia="Palatino Linotype,Times New Rom" w:hAnsi="Palatino Linotype" w:cs="Palatino Linotype,Times New Rom"/>
                <w:b w:val="0"/>
                <w:bCs w:val="0"/>
                <w:color w:val="000000" w:themeColor="text1"/>
                <w:sz w:val="20"/>
                <w:szCs w:val="20"/>
              </w:rPr>
              <w:t xml:space="preserve"> </w:t>
            </w:r>
          </w:p>
        </w:tc>
        <w:tc>
          <w:tcPr>
            <w:tcW w:w="0" w:type="auto"/>
            <w:hideMark/>
          </w:tcPr>
          <w:p w14:paraId="579DB90B"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336</w:t>
            </w:r>
          </w:p>
        </w:tc>
        <w:tc>
          <w:tcPr>
            <w:tcW w:w="0" w:type="auto"/>
            <w:hideMark/>
          </w:tcPr>
          <w:p w14:paraId="58D0B56F"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6.31</w:t>
            </w:r>
          </w:p>
        </w:tc>
      </w:tr>
      <w:tr w:rsidR="00216560" w:rsidRPr="00B870C7" w14:paraId="5E069E5F"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3311D606"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Administrative Medical Assistant</w:t>
            </w:r>
          </w:p>
        </w:tc>
        <w:tc>
          <w:tcPr>
            <w:tcW w:w="0" w:type="auto"/>
            <w:hideMark/>
          </w:tcPr>
          <w:p w14:paraId="4E4C7567"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276</w:t>
            </w:r>
          </w:p>
        </w:tc>
        <w:tc>
          <w:tcPr>
            <w:tcW w:w="0" w:type="auto"/>
            <w:hideMark/>
          </w:tcPr>
          <w:p w14:paraId="6640C65C"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5.19</w:t>
            </w:r>
          </w:p>
        </w:tc>
      </w:tr>
      <w:tr w:rsidR="00216560" w:rsidRPr="00B870C7" w14:paraId="21F614F9"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F6926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Clinical Medical Assistant</w:t>
            </w:r>
          </w:p>
        </w:tc>
        <w:tc>
          <w:tcPr>
            <w:tcW w:w="0" w:type="auto"/>
            <w:hideMark/>
          </w:tcPr>
          <w:p w14:paraId="145A7459"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499</w:t>
            </w:r>
          </w:p>
        </w:tc>
        <w:tc>
          <w:tcPr>
            <w:tcW w:w="0" w:type="auto"/>
            <w:hideMark/>
          </w:tcPr>
          <w:p w14:paraId="6D2E3D64"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9.38</w:t>
            </w:r>
          </w:p>
        </w:tc>
      </w:tr>
      <w:tr w:rsidR="00216560" w:rsidRPr="00B870C7" w14:paraId="66271E53"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788F60CE"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Billing &amp; Coding</w:t>
            </w:r>
          </w:p>
        </w:tc>
        <w:tc>
          <w:tcPr>
            <w:tcW w:w="0" w:type="auto"/>
            <w:hideMark/>
          </w:tcPr>
          <w:p w14:paraId="2F81C290"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314</w:t>
            </w:r>
          </w:p>
        </w:tc>
        <w:tc>
          <w:tcPr>
            <w:tcW w:w="0" w:type="auto"/>
            <w:hideMark/>
          </w:tcPr>
          <w:p w14:paraId="2011CE61"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5.90</w:t>
            </w:r>
          </w:p>
        </w:tc>
      </w:tr>
      <w:tr w:rsidR="00216560" w:rsidRPr="00B870C7" w14:paraId="1C849D4C"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C3541C"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Certified Alcohol and Drug Counselor</w:t>
            </w:r>
          </w:p>
        </w:tc>
        <w:tc>
          <w:tcPr>
            <w:tcW w:w="0" w:type="auto"/>
            <w:hideMark/>
          </w:tcPr>
          <w:p w14:paraId="317E769D"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29</w:t>
            </w:r>
          </w:p>
        </w:tc>
        <w:tc>
          <w:tcPr>
            <w:tcW w:w="0" w:type="auto"/>
            <w:hideMark/>
          </w:tcPr>
          <w:p w14:paraId="5B99209A"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0.55</w:t>
            </w:r>
          </w:p>
        </w:tc>
      </w:tr>
      <w:tr w:rsidR="00216560" w:rsidRPr="00B870C7" w14:paraId="0F461441"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26932EEC"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Nursing Assistant</w:t>
            </w:r>
          </w:p>
        </w:tc>
        <w:tc>
          <w:tcPr>
            <w:tcW w:w="0" w:type="auto"/>
            <w:hideMark/>
          </w:tcPr>
          <w:p w14:paraId="777BE40E"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980</w:t>
            </w:r>
          </w:p>
        </w:tc>
        <w:tc>
          <w:tcPr>
            <w:tcW w:w="0" w:type="auto"/>
            <w:hideMark/>
          </w:tcPr>
          <w:p w14:paraId="66E8E27F"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18.42</w:t>
            </w:r>
          </w:p>
        </w:tc>
      </w:tr>
      <w:tr w:rsidR="00216560" w:rsidRPr="00B870C7" w14:paraId="10A92F5B"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83CD98"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Community Health Worker</w:t>
            </w:r>
          </w:p>
        </w:tc>
        <w:tc>
          <w:tcPr>
            <w:tcW w:w="0" w:type="auto"/>
            <w:hideMark/>
          </w:tcPr>
          <w:p w14:paraId="7172FABC"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36</w:t>
            </w:r>
          </w:p>
        </w:tc>
        <w:tc>
          <w:tcPr>
            <w:tcW w:w="0" w:type="auto"/>
            <w:hideMark/>
          </w:tcPr>
          <w:p w14:paraId="6309F92D"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0.68</w:t>
            </w:r>
          </w:p>
        </w:tc>
      </w:tr>
      <w:tr w:rsidR="00216560" w:rsidRPr="00B870C7" w14:paraId="4B260326"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458A8123"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Computed Tomography</w:t>
            </w:r>
          </w:p>
        </w:tc>
        <w:tc>
          <w:tcPr>
            <w:tcW w:w="0" w:type="auto"/>
            <w:hideMark/>
          </w:tcPr>
          <w:p w14:paraId="6D88F5B4"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w:t>
            </w:r>
          </w:p>
        </w:tc>
        <w:tc>
          <w:tcPr>
            <w:tcW w:w="0" w:type="auto"/>
            <w:hideMark/>
          </w:tcPr>
          <w:p w14:paraId="3A46DA00"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0.08</w:t>
            </w:r>
          </w:p>
        </w:tc>
      </w:tr>
      <w:tr w:rsidR="00216560" w:rsidRPr="00B870C7" w14:paraId="56A5E36C"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5397C8"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Dental Assistant</w:t>
            </w:r>
          </w:p>
        </w:tc>
        <w:tc>
          <w:tcPr>
            <w:tcW w:w="0" w:type="auto"/>
            <w:hideMark/>
          </w:tcPr>
          <w:p w14:paraId="7DF2985D"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141</w:t>
            </w:r>
          </w:p>
        </w:tc>
        <w:tc>
          <w:tcPr>
            <w:tcW w:w="0" w:type="auto"/>
            <w:hideMark/>
          </w:tcPr>
          <w:p w14:paraId="5ECC1747"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2.65</w:t>
            </w:r>
          </w:p>
        </w:tc>
      </w:tr>
      <w:tr w:rsidR="00216560" w:rsidRPr="00B870C7" w14:paraId="679C7E17"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35127DE7"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Dental Hygiene</w:t>
            </w:r>
          </w:p>
        </w:tc>
        <w:tc>
          <w:tcPr>
            <w:tcW w:w="0" w:type="auto"/>
            <w:hideMark/>
          </w:tcPr>
          <w:p w14:paraId="2174CE54"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10</w:t>
            </w:r>
          </w:p>
        </w:tc>
        <w:tc>
          <w:tcPr>
            <w:tcW w:w="0" w:type="auto"/>
            <w:hideMark/>
          </w:tcPr>
          <w:p w14:paraId="191C23F7"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0.19</w:t>
            </w:r>
          </w:p>
        </w:tc>
      </w:tr>
      <w:tr w:rsidR="00216560" w:rsidRPr="00B870C7" w14:paraId="7DB6D510"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9E1D8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Dental Radiography</w:t>
            </w:r>
            <w:r w:rsidRPr="00B870C7">
              <w:rPr>
                <w:rFonts w:ascii="Palatino Linotype" w:eastAsia="Palatino Linotype,Times New Rom" w:hAnsi="Palatino Linotype" w:cs="Palatino Linotype,Times New Rom"/>
                <w:b w:val="0"/>
                <w:bCs w:val="0"/>
                <w:color w:val="000000" w:themeColor="text1"/>
                <w:sz w:val="20"/>
                <w:szCs w:val="20"/>
              </w:rPr>
              <w:t xml:space="preserve"> </w:t>
            </w:r>
          </w:p>
        </w:tc>
        <w:tc>
          <w:tcPr>
            <w:tcW w:w="0" w:type="auto"/>
            <w:hideMark/>
          </w:tcPr>
          <w:p w14:paraId="41DEE64F"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89</w:t>
            </w:r>
          </w:p>
        </w:tc>
        <w:tc>
          <w:tcPr>
            <w:tcW w:w="0" w:type="auto"/>
            <w:hideMark/>
          </w:tcPr>
          <w:p w14:paraId="1F3635B3"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1.67</w:t>
            </w:r>
          </w:p>
        </w:tc>
      </w:tr>
      <w:tr w:rsidR="00216560" w:rsidRPr="00B870C7" w14:paraId="3370C5B2"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6A18BA20"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Diagnostic Medical Sonography</w:t>
            </w:r>
          </w:p>
        </w:tc>
        <w:tc>
          <w:tcPr>
            <w:tcW w:w="0" w:type="auto"/>
            <w:hideMark/>
          </w:tcPr>
          <w:p w14:paraId="51A94C71"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38</w:t>
            </w:r>
          </w:p>
        </w:tc>
        <w:tc>
          <w:tcPr>
            <w:tcW w:w="0" w:type="auto"/>
            <w:hideMark/>
          </w:tcPr>
          <w:p w14:paraId="66E67DB0"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0.71</w:t>
            </w:r>
          </w:p>
        </w:tc>
      </w:tr>
      <w:tr w:rsidR="00216560" w:rsidRPr="00B870C7" w14:paraId="65EF4E43"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5D01B4"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EKG, Electrocardiogram, &amp; Telemetry</w:t>
            </w:r>
          </w:p>
        </w:tc>
        <w:tc>
          <w:tcPr>
            <w:tcW w:w="0" w:type="auto"/>
            <w:hideMark/>
          </w:tcPr>
          <w:p w14:paraId="7317072B"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333</w:t>
            </w:r>
          </w:p>
        </w:tc>
        <w:tc>
          <w:tcPr>
            <w:tcW w:w="0" w:type="auto"/>
            <w:hideMark/>
          </w:tcPr>
          <w:p w14:paraId="557ADFFA"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6.26</w:t>
            </w:r>
          </w:p>
        </w:tc>
      </w:tr>
      <w:tr w:rsidR="00216560" w:rsidRPr="00B870C7" w14:paraId="67C4081A"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289A556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EKG/Phlebotomy</w:t>
            </w:r>
          </w:p>
        </w:tc>
        <w:tc>
          <w:tcPr>
            <w:tcW w:w="0" w:type="auto"/>
            <w:hideMark/>
          </w:tcPr>
          <w:p w14:paraId="43CA3970"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80</w:t>
            </w:r>
          </w:p>
        </w:tc>
        <w:tc>
          <w:tcPr>
            <w:tcW w:w="0" w:type="auto"/>
            <w:hideMark/>
          </w:tcPr>
          <w:p w14:paraId="400A574D"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1.50</w:t>
            </w:r>
          </w:p>
        </w:tc>
      </w:tr>
      <w:tr w:rsidR="00216560" w:rsidRPr="00B870C7" w14:paraId="2AC55844"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77B332" w14:textId="77777777" w:rsidR="00216560" w:rsidRPr="00B870C7" w:rsidRDefault="00216560" w:rsidP="00D348ED">
            <w:pPr>
              <w:rPr>
                <w:rFonts w:ascii="Palatino Linotype" w:eastAsia="Palatino Linotype,Times New Rom" w:hAnsi="Palatino Linotype" w:cs="Palatino Linotype,Times New Rom"/>
                <w:b w:val="0"/>
                <w:bCs w:val="0"/>
              </w:rPr>
            </w:pPr>
            <w:r w:rsidRPr="00B870C7">
              <w:rPr>
                <w:rFonts w:ascii="Palatino Linotype" w:eastAsia="Palatino Linotype" w:hAnsi="Palatino Linotype" w:cs="Palatino Linotype"/>
                <w:b w:val="0"/>
                <w:bCs w:val="0"/>
              </w:rPr>
              <w:t>EMT</w:t>
            </w:r>
          </w:p>
        </w:tc>
        <w:tc>
          <w:tcPr>
            <w:tcW w:w="0" w:type="auto"/>
            <w:hideMark/>
          </w:tcPr>
          <w:p w14:paraId="192278A2"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257</w:t>
            </w:r>
          </w:p>
        </w:tc>
        <w:tc>
          <w:tcPr>
            <w:tcW w:w="0" w:type="auto"/>
            <w:hideMark/>
          </w:tcPr>
          <w:p w14:paraId="5A7A8ECE"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4.83</w:t>
            </w:r>
          </w:p>
        </w:tc>
      </w:tr>
      <w:tr w:rsidR="00216560" w:rsidRPr="00B870C7" w14:paraId="229FB40A"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6FD803F7" w14:textId="77777777" w:rsidR="00216560" w:rsidRPr="00B870C7" w:rsidRDefault="00216560" w:rsidP="00D348ED">
            <w:pPr>
              <w:rPr>
                <w:rFonts w:ascii="Palatino Linotype" w:eastAsia="Palatino Linotype,Times New Rom" w:hAnsi="Palatino Linotype" w:cs="Palatino Linotype,Times New Rom"/>
                <w:b w:val="0"/>
                <w:bCs w:val="0"/>
              </w:rPr>
            </w:pPr>
            <w:r w:rsidRPr="00B870C7">
              <w:rPr>
                <w:rFonts w:ascii="Palatino Linotype" w:eastAsia="Palatino Linotype" w:hAnsi="Palatino Linotype" w:cs="Palatino Linotype"/>
                <w:b w:val="0"/>
                <w:bCs w:val="0"/>
              </w:rPr>
              <w:t>Emergency Dispatcher</w:t>
            </w:r>
          </w:p>
        </w:tc>
        <w:tc>
          <w:tcPr>
            <w:tcW w:w="0" w:type="auto"/>
            <w:hideMark/>
          </w:tcPr>
          <w:p w14:paraId="4D1CFDB6"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7</w:t>
            </w:r>
          </w:p>
        </w:tc>
        <w:tc>
          <w:tcPr>
            <w:tcW w:w="0" w:type="auto"/>
            <w:hideMark/>
          </w:tcPr>
          <w:p w14:paraId="6C3E0701"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0.13</w:t>
            </w:r>
          </w:p>
        </w:tc>
      </w:tr>
      <w:tr w:rsidR="00216560" w:rsidRPr="00B870C7" w14:paraId="12816055"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CAB514" w14:textId="77777777" w:rsidR="00216560" w:rsidRPr="00B870C7" w:rsidRDefault="00216560" w:rsidP="00D348ED">
            <w:pPr>
              <w:rPr>
                <w:rFonts w:ascii="Palatino Linotype" w:eastAsia="Palatino Linotype,Times New Rom" w:hAnsi="Palatino Linotype" w:cs="Palatino Linotype,Times New Rom"/>
                <w:b w:val="0"/>
                <w:bCs w:val="0"/>
              </w:rPr>
            </w:pPr>
            <w:r w:rsidRPr="00B870C7">
              <w:rPr>
                <w:rFonts w:ascii="Palatino Linotype" w:eastAsia="Palatino Linotype" w:hAnsi="Palatino Linotype" w:cs="Palatino Linotype"/>
                <w:b w:val="0"/>
                <w:bCs w:val="0"/>
              </w:rPr>
              <w:t>Health Sciences</w:t>
            </w:r>
          </w:p>
        </w:tc>
        <w:tc>
          <w:tcPr>
            <w:tcW w:w="0" w:type="auto"/>
            <w:hideMark/>
          </w:tcPr>
          <w:p w14:paraId="7291AB1C"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8</w:t>
            </w:r>
          </w:p>
        </w:tc>
        <w:tc>
          <w:tcPr>
            <w:tcW w:w="0" w:type="auto"/>
            <w:hideMark/>
          </w:tcPr>
          <w:p w14:paraId="595E521F"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0.15</w:t>
            </w:r>
          </w:p>
        </w:tc>
      </w:tr>
      <w:tr w:rsidR="00216560" w:rsidRPr="00B870C7" w14:paraId="674F3F50"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08595408"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Licensed Practical Nurse</w:t>
            </w:r>
          </w:p>
        </w:tc>
        <w:tc>
          <w:tcPr>
            <w:tcW w:w="0" w:type="auto"/>
            <w:hideMark/>
          </w:tcPr>
          <w:p w14:paraId="65F95E64"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66</w:t>
            </w:r>
          </w:p>
        </w:tc>
        <w:tc>
          <w:tcPr>
            <w:tcW w:w="0" w:type="auto"/>
            <w:hideMark/>
          </w:tcPr>
          <w:p w14:paraId="2AA717F8"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1.24</w:t>
            </w:r>
          </w:p>
        </w:tc>
      </w:tr>
      <w:tr w:rsidR="00216560" w:rsidRPr="00B870C7" w14:paraId="378FF31B"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3CBF12"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MRI</w:t>
            </w:r>
          </w:p>
        </w:tc>
        <w:tc>
          <w:tcPr>
            <w:tcW w:w="0" w:type="auto"/>
            <w:hideMark/>
          </w:tcPr>
          <w:p w14:paraId="437AFBAB"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w:t>
            </w:r>
          </w:p>
        </w:tc>
        <w:tc>
          <w:tcPr>
            <w:tcW w:w="0" w:type="auto"/>
            <w:hideMark/>
          </w:tcPr>
          <w:p w14:paraId="601598B3"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0.04</w:t>
            </w:r>
          </w:p>
        </w:tc>
      </w:tr>
      <w:tr w:rsidR="00216560" w:rsidRPr="00B870C7" w14:paraId="2803520D"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286E11C0"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Mammography</w:t>
            </w:r>
          </w:p>
        </w:tc>
        <w:tc>
          <w:tcPr>
            <w:tcW w:w="0" w:type="auto"/>
            <w:hideMark/>
          </w:tcPr>
          <w:p w14:paraId="21ABBC68"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9</w:t>
            </w:r>
          </w:p>
        </w:tc>
        <w:tc>
          <w:tcPr>
            <w:tcW w:w="0" w:type="auto"/>
            <w:hideMark/>
          </w:tcPr>
          <w:p w14:paraId="5467AA76"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0.17</w:t>
            </w:r>
          </w:p>
        </w:tc>
      </w:tr>
      <w:tr w:rsidR="00216560" w:rsidRPr="00B870C7" w14:paraId="50C591A1"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6F86C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Massage Therapist</w:t>
            </w:r>
          </w:p>
        </w:tc>
        <w:tc>
          <w:tcPr>
            <w:tcW w:w="0" w:type="auto"/>
            <w:hideMark/>
          </w:tcPr>
          <w:p w14:paraId="2B915F46"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26</w:t>
            </w:r>
          </w:p>
        </w:tc>
        <w:tc>
          <w:tcPr>
            <w:tcW w:w="0" w:type="auto"/>
            <w:hideMark/>
          </w:tcPr>
          <w:p w14:paraId="0300CD03"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0.49</w:t>
            </w:r>
          </w:p>
        </w:tc>
      </w:tr>
      <w:tr w:rsidR="00216560" w:rsidRPr="00B870C7" w14:paraId="55136CF3"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4670A768"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Occupational Therapy Aide</w:t>
            </w:r>
          </w:p>
        </w:tc>
        <w:tc>
          <w:tcPr>
            <w:tcW w:w="0" w:type="auto"/>
            <w:hideMark/>
          </w:tcPr>
          <w:p w14:paraId="6AD30A0F"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18</w:t>
            </w:r>
          </w:p>
        </w:tc>
        <w:tc>
          <w:tcPr>
            <w:tcW w:w="0" w:type="auto"/>
            <w:hideMark/>
          </w:tcPr>
          <w:p w14:paraId="3D35D404"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0.34</w:t>
            </w:r>
          </w:p>
        </w:tc>
      </w:tr>
      <w:tr w:rsidR="00216560" w:rsidRPr="00B870C7" w14:paraId="6E63C701"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479BC3"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Patient Care Technician</w:t>
            </w:r>
          </w:p>
        </w:tc>
        <w:tc>
          <w:tcPr>
            <w:tcW w:w="0" w:type="auto"/>
            <w:hideMark/>
          </w:tcPr>
          <w:p w14:paraId="072F80DA"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417</w:t>
            </w:r>
          </w:p>
        </w:tc>
        <w:tc>
          <w:tcPr>
            <w:tcW w:w="0" w:type="auto"/>
            <w:hideMark/>
          </w:tcPr>
          <w:p w14:paraId="446EEC15"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7.84</w:t>
            </w:r>
          </w:p>
        </w:tc>
      </w:tr>
      <w:tr w:rsidR="00216560" w:rsidRPr="00B870C7" w14:paraId="47EF327E"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04D6685A"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Pharmacy Technician</w:t>
            </w:r>
          </w:p>
        </w:tc>
        <w:tc>
          <w:tcPr>
            <w:tcW w:w="0" w:type="auto"/>
            <w:hideMark/>
          </w:tcPr>
          <w:p w14:paraId="306E0942"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233</w:t>
            </w:r>
          </w:p>
        </w:tc>
        <w:tc>
          <w:tcPr>
            <w:tcW w:w="0" w:type="auto"/>
            <w:hideMark/>
          </w:tcPr>
          <w:p w14:paraId="0865E42C"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4.38</w:t>
            </w:r>
          </w:p>
        </w:tc>
      </w:tr>
      <w:tr w:rsidR="00216560" w:rsidRPr="00B870C7" w14:paraId="5D8B27C2"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70E2B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Phlebotomy</w:t>
            </w:r>
          </w:p>
        </w:tc>
        <w:tc>
          <w:tcPr>
            <w:tcW w:w="0" w:type="auto"/>
            <w:hideMark/>
          </w:tcPr>
          <w:p w14:paraId="0BB56EC1"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545</w:t>
            </w:r>
          </w:p>
        </w:tc>
        <w:tc>
          <w:tcPr>
            <w:tcW w:w="0" w:type="auto"/>
            <w:hideMark/>
          </w:tcPr>
          <w:p w14:paraId="4A669C68"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10.24</w:t>
            </w:r>
          </w:p>
        </w:tc>
      </w:tr>
      <w:tr w:rsidR="00216560" w:rsidRPr="00B870C7" w14:paraId="542B1E6F"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3E811F7C"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Physical Therapy Aide</w:t>
            </w:r>
          </w:p>
        </w:tc>
        <w:tc>
          <w:tcPr>
            <w:tcW w:w="0" w:type="auto"/>
            <w:hideMark/>
          </w:tcPr>
          <w:p w14:paraId="7AA1A1FF"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70</w:t>
            </w:r>
          </w:p>
        </w:tc>
        <w:tc>
          <w:tcPr>
            <w:tcW w:w="0" w:type="auto"/>
            <w:hideMark/>
          </w:tcPr>
          <w:p w14:paraId="25D0BE8E"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1.32</w:t>
            </w:r>
          </w:p>
        </w:tc>
      </w:tr>
      <w:tr w:rsidR="00216560" w:rsidRPr="00B870C7" w14:paraId="75276567"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3B61CB"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Radiology Technician</w:t>
            </w:r>
          </w:p>
        </w:tc>
        <w:tc>
          <w:tcPr>
            <w:tcW w:w="0" w:type="auto"/>
            <w:hideMark/>
          </w:tcPr>
          <w:p w14:paraId="22235794"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20</w:t>
            </w:r>
          </w:p>
        </w:tc>
        <w:tc>
          <w:tcPr>
            <w:tcW w:w="0" w:type="auto"/>
            <w:hideMark/>
          </w:tcPr>
          <w:p w14:paraId="40E39066"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0.38</w:t>
            </w:r>
          </w:p>
        </w:tc>
      </w:tr>
      <w:tr w:rsidR="00216560" w:rsidRPr="00B870C7" w14:paraId="1F58A405"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036A2425"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Registered Nurse Refresher</w:t>
            </w:r>
          </w:p>
        </w:tc>
        <w:tc>
          <w:tcPr>
            <w:tcW w:w="0" w:type="auto"/>
            <w:hideMark/>
          </w:tcPr>
          <w:p w14:paraId="19F95F82"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91</w:t>
            </w:r>
          </w:p>
        </w:tc>
        <w:tc>
          <w:tcPr>
            <w:tcW w:w="0" w:type="auto"/>
            <w:hideMark/>
          </w:tcPr>
          <w:p w14:paraId="0ED1BD52"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1.71</w:t>
            </w:r>
          </w:p>
        </w:tc>
      </w:tr>
      <w:tr w:rsidR="00216560" w:rsidRPr="00B870C7" w14:paraId="66402B24"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991442"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Respiratory Technician</w:t>
            </w:r>
          </w:p>
        </w:tc>
        <w:tc>
          <w:tcPr>
            <w:tcW w:w="0" w:type="auto"/>
            <w:hideMark/>
          </w:tcPr>
          <w:p w14:paraId="59AAE38B"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2</w:t>
            </w:r>
          </w:p>
        </w:tc>
        <w:tc>
          <w:tcPr>
            <w:tcW w:w="0" w:type="auto"/>
            <w:hideMark/>
          </w:tcPr>
          <w:p w14:paraId="0BE834D9"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0.04</w:t>
            </w:r>
          </w:p>
        </w:tc>
      </w:tr>
      <w:tr w:rsidR="00216560" w:rsidRPr="00B870C7" w14:paraId="1FD5C742"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46C3FAC4"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Smart Start</w:t>
            </w:r>
          </w:p>
        </w:tc>
        <w:tc>
          <w:tcPr>
            <w:tcW w:w="0" w:type="auto"/>
            <w:hideMark/>
          </w:tcPr>
          <w:p w14:paraId="67780040"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331</w:t>
            </w:r>
          </w:p>
        </w:tc>
        <w:tc>
          <w:tcPr>
            <w:tcW w:w="0" w:type="auto"/>
            <w:hideMark/>
          </w:tcPr>
          <w:p w14:paraId="01AE894C"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6.22</w:t>
            </w:r>
          </w:p>
        </w:tc>
      </w:tr>
      <w:tr w:rsidR="00216560" w:rsidRPr="00B870C7" w14:paraId="5300F283" w14:textId="77777777" w:rsidTr="00E0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49ED9E"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Surgical Technician</w:t>
            </w:r>
          </w:p>
        </w:tc>
        <w:tc>
          <w:tcPr>
            <w:tcW w:w="0" w:type="auto"/>
            <w:hideMark/>
          </w:tcPr>
          <w:p w14:paraId="1A2DB18C"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54</w:t>
            </w:r>
          </w:p>
        </w:tc>
        <w:tc>
          <w:tcPr>
            <w:tcW w:w="0" w:type="auto"/>
            <w:hideMark/>
          </w:tcPr>
          <w:p w14:paraId="660117F5" w14:textId="77777777" w:rsidR="00216560" w:rsidRPr="00B870C7" w:rsidRDefault="00216560" w:rsidP="00D348E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1.01</w:t>
            </w:r>
          </w:p>
        </w:tc>
      </w:tr>
      <w:tr w:rsidR="00216560" w:rsidRPr="00B870C7" w14:paraId="37E3A1E2" w14:textId="77777777" w:rsidTr="00E0205C">
        <w:tc>
          <w:tcPr>
            <w:cnfStyle w:val="001000000000" w:firstRow="0" w:lastRow="0" w:firstColumn="1" w:lastColumn="0" w:oddVBand="0" w:evenVBand="0" w:oddHBand="0" w:evenHBand="0" w:firstRowFirstColumn="0" w:firstRowLastColumn="0" w:lastRowFirstColumn="0" w:lastRowLastColumn="0"/>
            <w:tcW w:w="0" w:type="auto"/>
            <w:hideMark/>
          </w:tcPr>
          <w:p w14:paraId="666463A1" w14:textId="77777777" w:rsidR="00216560" w:rsidRPr="00B870C7" w:rsidRDefault="00216560" w:rsidP="00D348ED">
            <w:pPr>
              <w:rPr>
                <w:rFonts w:ascii="Palatino Linotype" w:eastAsia="Times New Roman" w:hAnsi="Palatino Linotype"/>
              </w:rPr>
            </w:pPr>
            <w:r w:rsidRPr="00B870C7">
              <w:rPr>
                <w:rFonts w:ascii="Palatino Linotype" w:eastAsia="Palatino Linotype" w:hAnsi="Palatino Linotype" w:cs="Palatino Linotype"/>
                <w:b w:val="0"/>
                <w:bCs w:val="0"/>
                <w:color w:val="000000" w:themeColor="text1"/>
                <w:sz w:val="20"/>
                <w:szCs w:val="20"/>
              </w:rPr>
              <w:t>Total</w:t>
            </w:r>
          </w:p>
        </w:tc>
        <w:tc>
          <w:tcPr>
            <w:tcW w:w="0" w:type="auto"/>
            <w:hideMark/>
          </w:tcPr>
          <w:p w14:paraId="344F01BD"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Times New Roman" w:hAnsi="Palatino Linotype"/>
              </w:rPr>
              <w:t>5,321</w:t>
            </w:r>
          </w:p>
        </w:tc>
        <w:tc>
          <w:tcPr>
            <w:tcW w:w="0" w:type="auto"/>
            <w:hideMark/>
          </w:tcPr>
          <w:p w14:paraId="560278DD" w14:textId="77777777" w:rsidR="00216560" w:rsidRPr="00B870C7" w:rsidRDefault="00216560" w:rsidP="00D348E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rPr>
            </w:pPr>
            <w:r w:rsidRPr="00B870C7">
              <w:rPr>
                <w:rFonts w:ascii="Palatino Linotype" w:eastAsia="Palatino Linotype" w:hAnsi="Palatino Linotype" w:cs="Palatino Linotype"/>
                <w:color w:val="000000" w:themeColor="text1"/>
                <w:sz w:val="20"/>
                <w:szCs w:val="20"/>
              </w:rPr>
              <w:t>100.0</w:t>
            </w:r>
          </w:p>
        </w:tc>
      </w:tr>
    </w:tbl>
    <w:p w14:paraId="3B4CC310" w14:textId="77777777" w:rsidR="00216560" w:rsidRPr="00216560" w:rsidRDefault="00216560" w:rsidP="00216560">
      <w:pPr>
        <w:pStyle w:val="ListParagraph"/>
      </w:pPr>
    </w:p>
    <w:p w14:paraId="3EF691FD" w14:textId="77777777" w:rsidR="00216560" w:rsidRDefault="00216560" w:rsidP="00D348ED">
      <w:pPr>
        <w:pStyle w:val="ListParagraph"/>
        <w:numPr>
          <w:ilvl w:val="0"/>
          <w:numId w:val="22"/>
        </w:numPr>
      </w:pPr>
      <w:r>
        <w:lastRenderedPageBreak/>
        <w:t>Employment after Completion. Regarding the effect of participation in NJ-PREP on a student’s employment status after program completion, the data showed that there was no statistical difference between NJ-PREP program completers and a comparison group of trainees.</w:t>
      </w:r>
    </w:p>
    <w:p w14:paraId="144B6B35" w14:textId="77777777" w:rsidR="00216560" w:rsidRDefault="00216560" w:rsidP="00D348ED">
      <w:pPr>
        <w:spacing w:after="0" w:line="240" w:lineRule="auto"/>
      </w:pPr>
    </w:p>
    <w:p w14:paraId="2C5C90FE" w14:textId="0CA6E00E" w:rsidR="00216560" w:rsidRDefault="00216560" w:rsidP="00D348ED">
      <w:pPr>
        <w:pStyle w:val="ListParagraph"/>
        <w:numPr>
          <w:ilvl w:val="0"/>
          <w:numId w:val="21"/>
        </w:numPr>
      </w:pPr>
      <w:r>
        <w:t>Earnings after Completion. Although post completion earnings were different for NJ-PREP TAACCCT trainees and comparison group trainees, they were generally statistically indistinguishable. Some statistical tests did, however, indicate that completers of NJ-PREP TAACCCT programs earned about $150 less per quarter than students who completed comparable health sciences programs at other postsecondary training providers.</w:t>
      </w:r>
    </w:p>
    <w:p w14:paraId="763337B6" w14:textId="77777777" w:rsidR="00216560" w:rsidRDefault="00216560" w:rsidP="00D348ED">
      <w:pPr>
        <w:spacing w:after="0" w:line="240" w:lineRule="auto"/>
      </w:pPr>
    </w:p>
    <w:p w14:paraId="1A8DD06A" w14:textId="55AD8A96" w:rsidR="00216560" w:rsidRDefault="00216560" w:rsidP="00D348ED">
      <w:pPr>
        <w:pStyle w:val="ListParagraph"/>
        <w:numPr>
          <w:ilvl w:val="0"/>
          <w:numId w:val="20"/>
        </w:numPr>
      </w:pPr>
      <w:r>
        <w:t>Employment in the Healthcare Industry after Completion. Some statistical tests indicated that NJ-PREP trainees were statistically more likely to be employed in the healthcare industry than a comparison group of students trained in health sciences at other postsecondary training providers, while others indicated that there was no statistically distinguishable difference between the two groups.</w:t>
      </w:r>
    </w:p>
    <w:p w14:paraId="7DAA8E9B" w14:textId="77777777" w:rsidR="00216560" w:rsidRPr="00216560" w:rsidRDefault="00216560" w:rsidP="00D348ED">
      <w:pPr>
        <w:pStyle w:val="ListParagraph"/>
      </w:pPr>
    </w:p>
    <w:p w14:paraId="5A586CF7" w14:textId="57DDD472" w:rsidR="003B59FD" w:rsidRDefault="003B59FD" w:rsidP="006377E9">
      <w:pPr>
        <w:pStyle w:val="Heading2"/>
        <w:numPr>
          <w:ilvl w:val="0"/>
          <w:numId w:val="27"/>
        </w:numPr>
      </w:pPr>
      <w:bookmarkStart w:id="28" w:name="_Toc525550491"/>
      <w:r>
        <w:t>Limitations of Study</w:t>
      </w:r>
      <w:bookmarkEnd w:id="28"/>
    </w:p>
    <w:p w14:paraId="60048884" w14:textId="77777777" w:rsidR="00216560" w:rsidRPr="00216560" w:rsidRDefault="00216560" w:rsidP="00D348ED">
      <w:pPr>
        <w:spacing w:after="0" w:line="240" w:lineRule="auto"/>
      </w:pPr>
    </w:p>
    <w:p w14:paraId="36AE3BE6" w14:textId="6E04A973" w:rsidR="00216560" w:rsidRDefault="00216560" w:rsidP="00D348ED">
      <w:pPr>
        <w:pStyle w:val="Default"/>
        <w:rPr>
          <w:rStyle w:val="None"/>
          <w:rFonts w:ascii="Palatino Linotype" w:hAnsi="Palatino Linotype"/>
          <w:shd w:val="clear" w:color="auto" w:fill="FFFFFF"/>
        </w:rPr>
      </w:pPr>
      <w:r w:rsidRPr="00416846">
        <w:rPr>
          <w:rStyle w:val="None"/>
          <w:rFonts w:ascii="Palatino Linotype" w:hAnsi="Palatino Linotype"/>
          <w:i/>
          <w:iCs/>
          <w:shd w:val="clear" w:color="auto" w:fill="FFFFFF"/>
        </w:rPr>
        <w:t>Confounding</w:t>
      </w:r>
      <w:r w:rsidRPr="00416846">
        <w:rPr>
          <w:rStyle w:val="None"/>
          <w:rFonts w:ascii="Palatino Linotype" w:hAnsi="Palatino Linotype"/>
          <w:shd w:val="clear" w:color="auto" w:fill="FFFFFF"/>
        </w:rPr>
        <w:t xml:space="preserve">.  All observables have not been included in this analysis. We have, however, included arguably the most important predictors of a person’s labor market success at time t: their prior wages and employment history was well as other variables that are strongly associated with employment and wages, including age, sex, and race. </w:t>
      </w:r>
    </w:p>
    <w:p w14:paraId="43E5852E" w14:textId="77777777" w:rsidR="00D348ED" w:rsidRPr="00416846" w:rsidRDefault="00D348ED" w:rsidP="00D348ED">
      <w:pPr>
        <w:pStyle w:val="Default"/>
        <w:rPr>
          <w:rStyle w:val="None"/>
          <w:rFonts w:ascii="Palatino Linotype" w:eastAsia="Avenir Next" w:hAnsi="Palatino Linotype" w:cs="Avenir Next"/>
          <w:shd w:val="clear" w:color="auto" w:fill="FFFFFF"/>
        </w:rPr>
      </w:pPr>
    </w:p>
    <w:p w14:paraId="553CAD10" w14:textId="68655C39" w:rsidR="00216560" w:rsidRDefault="00216560" w:rsidP="006377E9">
      <w:pPr>
        <w:pStyle w:val="Default"/>
        <w:rPr>
          <w:rStyle w:val="None"/>
          <w:rFonts w:ascii="Palatino Linotype" w:hAnsi="Palatino Linotype"/>
          <w:shd w:val="clear" w:color="auto" w:fill="FFFFFF"/>
        </w:rPr>
      </w:pPr>
      <w:r w:rsidRPr="00416846">
        <w:rPr>
          <w:rStyle w:val="None"/>
          <w:rFonts w:ascii="Palatino Linotype" w:hAnsi="Palatino Linotype"/>
          <w:i/>
          <w:iCs/>
          <w:shd w:val="clear" w:color="auto" w:fill="FFFFFF"/>
        </w:rPr>
        <w:t>Selection Bias</w:t>
      </w:r>
      <w:r w:rsidRPr="00416846">
        <w:rPr>
          <w:rStyle w:val="None"/>
          <w:rFonts w:ascii="Palatino Linotype" w:hAnsi="Palatino Linotype"/>
          <w:shd w:val="clear" w:color="auto" w:fill="FFFFFF"/>
        </w:rPr>
        <w:t>. We seek to mitigate selection bias by including in the comparison group individuals who made the choice to undertake the exact same programs of study as the comparison group during the same year. Further, the study includes the propensity score via TMLE in in one set of models to ensure that the treatment and control observations are as similar as possible. That said, the literature on double robustness combined with the effectiveness of the BART model at reducing bias give us confidence that selection bias is low.</w:t>
      </w:r>
    </w:p>
    <w:p w14:paraId="138FE23B" w14:textId="77777777" w:rsidR="006377E9" w:rsidRPr="00416846" w:rsidRDefault="006377E9" w:rsidP="006377E9">
      <w:pPr>
        <w:pStyle w:val="Default"/>
        <w:rPr>
          <w:rStyle w:val="None"/>
          <w:rFonts w:ascii="Palatino Linotype" w:eastAsia="Avenir Next" w:hAnsi="Palatino Linotype" w:cs="Avenir Next"/>
          <w:shd w:val="clear" w:color="auto" w:fill="FFFFFF"/>
        </w:rPr>
      </w:pPr>
    </w:p>
    <w:p w14:paraId="13C815BB" w14:textId="6D80122B" w:rsidR="00216560" w:rsidRDefault="00216560" w:rsidP="006377E9">
      <w:pPr>
        <w:pStyle w:val="Default"/>
        <w:rPr>
          <w:rStyle w:val="None"/>
          <w:rFonts w:ascii="Palatino Linotype" w:hAnsi="Palatino Linotype"/>
          <w:shd w:val="clear" w:color="auto" w:fill="FFFFFF"/>
        </w:rPr>
      </w:pPr>
      <w:r w:rsidRPr="00416846">
        <w:rPr>
          <w:rStyle w:val="None"/>
          <w:rFonts w:ascii="Palatino Linotype" w:hAnsi="Palatino Linotype"/>
          <w:i/>
          <w:iCs/>
          <w:shd w:val="clear" w:color="auto" w:fill="FFFFFF"/>
        </w:rPr>
        <w:t>History</w:t>
      </w:r>
      <w:r w:rsidRPr="00416846">
        <w:rPr>
          <w:rStyle w:val="None"/>
          <w:rFonts w:ascii="Palatino Linotype" w:hAnsi="Palatino Linotype"/>
          <w:shd w:val="clear" w:color="auto" w:fill="FFFFFF"/>
        </w:rPr>
        <w:t xml:space="preserve">.  Factors external to the NJ PREP program — such as changes in certification requirements for a health care occupation — could affect the outcomes of the treatment group. It is likely, however, that these factors would also affect the individuals in the comparison group, since that group includes individuals trained in the same occupational fields at the same time as the treatment group. </w:t>
      </w:r>
    </w:p>
    <w:p w14:paraId="4AC03CFA" w14:textId="010368D4" w:rsidR="006377E9" w:rsidRPr="00416846" w:rsidRDefault="006377E9" w:rsidP="006377E9">
      <w:pPr>
        <w:pStyle w:val="Default"/>
        <w:rPr>
          <w:rStyle w:val="None"/>
          <w:rFonts w:ascii="Palatino Linotype" w:eastAsia="Avenir Next" w:hAnsi="Palatino Linotype" w:cs="Avenir Next"/>
          <w:b/>
          <w:bCs/>
          <w:shd w:val="clear" w:color="auto" w:fill="FFFFFF"/>
        </w:rPr>
      </w:pPr>
    </w:p>
    <w:p w14:paraId="7DF67561" w14:textId="375533B7" w:rsidR="00216560" w:rsidRDefault="00216560" w:rsidP="006377E9">
      <w:pPr>
        <w:pStyle w:val="Default"/>
        <w:rPr>
          <w:rStyle w:val="None"/>
          <w:rFonts w:ascii="Palatino Linotype" w:hAnsi="Palatino Linotype"/>
          <w:shd w:val="clear" w:color="auto" w:fill="FFFFFF"/>
        </w:rPr>
      </w:pPr>
      <w:r w:rsidRPr="00416846">
        <w:rPr>
          <w:rStyle w:val="None"/>
          <w:rFonts w:ascii="Palatino Linotype" w:hAnsi="Palatino Linotype"/>
          <w:i/>
          <w:iCs/>
          <w:shd w:val="clear" w:color="auto" w:fill="FFFFFF"/>
        </w:rPr>
        <w:t>Maturation</w:t>
      </w:r>
      <w:r w:rsidRPr="00416846">
        <w:rPr>
          <w:rStyle w:val="None"/>
          <w:rFonts w:ascii="Palatino Linotype" w:hAnsi="Palatino Linotype"/>
          <w:shd w:val="clear" w:color="auto" w:fill="FFFFFF"/>
        </w:rPr>
        <w:t>. As with history, maturation of the subjects would occur to the same extent in the treatment and comparison groups.</w:t>
      </w:r>
    </w:p>
    <w:p w14:paraId="5AADB857" w14:textId="77777777" w:rsidR="006377E9" w:rsidRPr="00416846" w:rsidRDefault="006377E9" w:rsidP="006377E9">
      <w:pPr>
        <w:pStyle w:val="Default"/>
        <w:rPr>
          <w:rStyle w:val="None"/>
          <w:rFonts w:ascii="Palatino Linotype" w:eastAsia="Avenir Next" w:hAnsi="Palatino Linotype" w:cs="Avenir Next"/>
          <w:shd w:val="clear" w:color="auto" w:fill="FFFFFF"/>
        </w:rPr>
      </w:pPr>
    </w:p>
    <w:p w14:paraId="73021142" w14:textId="4C83CF5B" w:rsidR="00216560" w:rsidRDefault="00216560" w:rsidP="006377E9">
      <w:pPr>
        <w:pStyle w:val="Default"/>
        <w:rPr>
          <w:rStyle w:val="None"/>
          <w:rFonts w:ascii="Palatino Linotype" w:hAnsi="Palatino Linotype"/>
          <w:shd w:val="clear" w:color="auto" w:fill="FFFFFF"/>
        </w:rPr>
      </w:pPr>
      <w:r w:rsidRPr="00416846">
        <w:rPr>
          <w:rStyle w:val="None"/>
          <w:rFonts w:ascii="Palatino Linotype" w:hAnsi="Palatino Linotype"/>
          <w:i/>
          <w:iCs/>
          <w:shd w:val="clear" w:color="auto" w:fill="FFFFFF"/>
        </w:rPr>
        <w:t>Mortality</w:t>
      </w:r>
      <w:r w:rsidRPr="00416846">
        <w:rPr>
          <w:rStyle w:val="None"/>
          <w:rFonts w:ascii="Palatino Linotype" w:hAnsi="Palatino Linotype"/>
          <w:shd w:val="clear" w:color="auto" w:fill="FFFFFF"/>
        </w:rPr>
        <w:t xml:space="preserve">. The study includes only completers in the treatment and comparison groups. If there are differential rates of program completion across the NJ PREP colleges and the private </w:t>
      </w:r>
      <w:r w:rsidRPr="00416846">
        <w:rPr>
          <w:rStyle w:val="None"/>
          <w:rFonts w:ascii="Palatino Linotype" w:hAnsi="Palatino Linotype"/>
          <w:shd w:val="clear" w:color="auto" w:fill="FFFFFF"/>
        </w:rPr>
        <w:lastRenderedPageBreak/>
        <w:t xml:space="preserve">postsecondary training providers from which the comparison group was drawn, it could affect the results. For this reason, our study estimates the Average Treatment Effect (ATE) and is not an Intention to Treat analysis. </w:t>
      </w:r>
    </w:p>
    <w:p w14:paraId="77B6BB5C" w14:textId="77777777" w:rsidR="006377E9" w:rsidRPr="00416846" w:rsidRDefault="006377E9" w:rsidP="006377E9">
      <w:pPr>
        <w:pStyle w:val="Default"/>
        <w:rPr>
          <w:rStyle w:val="None"/>
          <w:rFonts w:ascii="Palatino Linotype" w:eastAsia="Avenir Next" w:hAnsi="Palatino Linotype" w:cs="Avenir Next"/>
          <w:shd w:val="clear" w:color="auto" w:fill="FFFFFF"/>
        </w:rPr>
      </w:pPr>
    </w:p>
    <w:p w14:paraId="315CF71B" w14:textId="7FF69152" w:rsidR="00216560" w:rsidRDefault="00216560" w:rsidP="006377E9">
      <w:pPr>
        <w:pStyle w:val="Default"/>
        <w:rPr>
          <w:rStyle w:val="None"/>
          <w:rFonts w:ascii="Palatino Linotype" w:hAnsi="Palatino Linotype"/>
          <w:shd w:val="clear" w:color="auto" w:fill="FFFFFF"/>
        </w:rPr>
      </w:pPr>
      <w:r w:rsidRPr="00416846">
        <w:rPr>
          <w:rStyle w:val="None"/>
          <w:rFonts w:ascii="Palatino Linotype" w:hAnsi="Palatino Linotype"/>
          <w:i/>
          <w:iCs/>
          <w:shd w:val="clear" w:color="auto" w:fill="FFFFFF"/>
        </w:rPr>
        <w:t>Diffusion</w:t>
      </w:r>
      <w:r w:rsidRPr="00416846">
        <w:rPr>
          <w:rStyle w:val="None"/>
          <w:rFonts w:ascii="Palatino Linotype" w:hAnsi="Palatino Linotype"/>
          <w:shd w:val="clear" w:color="auto" w:fill="FFFFFF"/>
        </w:rPr>
        <w:t>. Because the trainees studied in this evaluation received training from different postsecondary institutions, diffusion effects are likely close to zero.</w:t>
      </w:r>
    </w:p>
    <w:p w14:paraId="3131F951" w14:textId="77777777" w:rsidR="006377E9" w:rsidRPr="00416846" w:rsidRDefault="006377E9" w:rsidP="006377E9">
      <w:pPr>
        <w:pStyle w:val="Default"/>
        <w:rPr>
          <w:rStyle w:val="None"/>
          <w:rFonts w:ascii="Palatino Linotype" w:eastAsia="Avenir Next" w:hAnsi="Palatino Linotype" w:cs="Avenir Next"/>
          <w:b/>
          <w:bCs/>
          <w:shd w:val="clear" w:color="auto" w:fill="FFFFFF"/>
        </w:rPr>
      </w:pPr>
    </w:p>
    <w:p w14:paraId="56809076" w14:textId="22F0C2DA" w:rsidR="00216560" w:rsidRDefault="00216560" w:rsidP="006377E9">
      <w:pPr>
        <w:pStyle w:val="Default"/>
        <w:rPr>
          <w:rStyle w:val="None"/>
          <w:rFonts w:ascii="Palatino Linotype" w:hAnsi="Palatino Linotype"/>
          <w:shd w:val="clear" w:color="auto" w:fill="FFFFFF"/>
        </w:rPr>
      </w:pPr>
      <w:r w:rsidRPr="00216560">
        <w:rPr>
          <w:rStyle w:val="None"/>
          <w:rFonts w:ascii="Palatino Linotype" w:hAnsi="Palatino Linotype"/>
          <w:i/>
          <w:shd w:val="clear" w:color="auto" w:fill="FFFFFF"/>
        </w:rPr>
        <w:t>Other limitations.</w:t>
      </w:r>
      <w:r>
        <w:rPr>
          <w:rStyle w:val="None"/>
          <w:rFonts w:ascii="Palatino Linotype" w:hAnsi="Palatino Linotype"/>
          <w:shd w:val="clear" w:color="auto" w:fill="FFFFFF"/>
        </w:rPr>
        <w:t xml:space="preserve"> </w:t>
      </w:r>
      <w:r w:rsidRPr="00416846">
        <w:rPr>
          <w:rStyle w:val="None"/>
          <w:rFonts w:ascii="Palatino Linotype" w:hAnsi="Palatino Linotype"/>
          <w:shd w:val="clear" w:color="auto" w:fill="FFFFFF"/>
        </w:rPr>
        <w:t>the New Jersey UI wage data do not contain information on the employment and earnings of anyone outside of the state, the researchers were unable to capture the post-training labor market experiences of anyone who found employment in New York or Pennsylvania (or any other state).</w:t>
      </w:r>
      <w:r w:rsidR="007A3B72">
        <w:rPr>
          <w:rStyle w:val="None"/>
          <w:rFonts w:ascii="Palatino Linotype" w:hAnsi="Palatino Linotype"/>
          <w:shd w:val="clear" w:color="auto" w:fill="FFFFFF"/>
        </w:rPr>
        <w:t xml:space="preserve"> It also does not include Federal employees.</w:t>
      </w:r>
      <w:r w:rsidRPr="00416846">
        <w:rPr>
          <w:rStyle w:val="None"/>
          <w:rFonts w:ascii="Palatino Linotype" w:hAnsi="Palatino Linotype"/>
          <w:shd w:val="clear" w:color="auto" w:fill="FFFFFF"/>
        </w:rPr>
        <w:t xml:space="preserve"> This could bias the results of this study to the extent that individuals in the treatment group have a different likelihood of finding work outside of New Jersey </w:t>
      </w:r>
      <w:r w:rsidR="007A3B72">
        <w:rPr>
          <w:rStyle w:val="None"/>
          <w:rFonts w:ascii="Palatino Linotype" w:hAnsi="Palatino Linotype"/>
          <w:shd w:val="clear" w:color="auto" w:fill="FFFFFF"/>
        </w:rPr>
        <w:t xml:space="preserve">or for the Federal government </w:t>
      </w:r>
      <w:r w:rsidRPr="00416846">
        <w:rPr>
          <w:rStyle w:val="None"/>
          <w:rFonts w:ascii="Palatino Linotype" w:hAnsi="Palatino Linotype"/>
          <w:shd w:val="clear" w:color="auto" w:fill="FFFFFF"/>
        </w:rPr>
        <w:t xml:space="preserve">than those in the comparison group. </w:t>
      </w:r>
    </w:p>
    <w:p w14:paraId="096FF778" w14:textId="77777777" w:rsidR="006377E9" w:rsidRPr="00416846" w:rsidRDefault="006377E9" w:rsidP="006377E9">
      <w:pPr>
        <w:pStyle w:val="Default"/>
        <w:rPr>
          <w:rStyle w:val="None"/>
          <w:rFonts w:ascii="Palatino Linotype" w:eastAsia="Avenir Next" w:hAnsi="Palatino Linotype" w:cs="Avenir Next"/>
          <w:shd w:val="clear" w:color="auto" w:fill="FFFFFF"/>
        </w:rPr>
      </w:pPr>
    </w:p>
    <w:p w14:paraId="1D32EDEA" w14:textId="5273ACE6" w:rsidR="00216560" w:rsidRDefault="00216560" w:rsidP="006377E9">
      <w:pPr>
        <w:pStyle w:val="Default"/>
        <w:rPr>
          <w:rStyle w:val="None"/>
          <w:rFonts w:ascii="Palatino Linotype" w:hAnsi="Palatino Linotype"/>
          <w:shd w:val="clear" w:color="auto" w:fill="FFFFFF"/>
        </w:rPr>
      </w:pPr>
      <w:r w:rsidRPr="00416846">
        <w:rPr>
          <w:rStyle w:val="None"/>
          <w:rFonts w:ascii="Palatino Linotype" w:hAnsi="Palatino Linotype"/>
          <w:shd w:val="clear" w:color="auto" w:fill="FFFFFF"/>
        </w:rPr>
        <w:t xml:space="preserve">Because there is a six-month lag in the wage data used to calculate an individual’s employment status and earnings, data on some program exiters were not available for the third or fourth quarters after program completion. In order to keep a sufficiently large sample size, the researchers limited their analysis to only the first four quarters after program exit, allowing them to assess the program’s effect on short- and medium-term outcomes but not on their long-term labor market success. </w:t>
      </w:r>
    </w:p>
    <w:p w14:paraId="3ABCC215" w14:textId="77777777" w:rsidR="00DC3A19" w:rsidRPr="00416846" w:rsidRDefault="00DC3A19" w:rsidP="00DC3A19">
      <w:pPr>
        <w:pStyle w:val="Default"/>
        <w:rPr>
          <w:rStyle w:val="None"/>
          <w:rFonts w:ascii="Palatino Linotype" w:eastAsia="Avenir Next" w:hAnsi="Palatino Linotype" w:cs="Avenir Next"/>
          <w:shd w:val="clear" w:color="auto" w:fill="FFFFFF"/>
        </w:rPr>
      </w:pPr>
    </w:p>
    <w:p w14:paraId="37DEE0C2" w14:textId="35303419" w:rsidR="00B3418A" w:rsidRDefault="00B3418A" w:rsidP="00DC3A19">
      <w:pPr>
        <w:pStyle w:val="Heading1"/>
        <w:numPr>
          <w:ilvl w:val="0"/>
          <w:numId w:val="3"/>
        </w:numPr>
      </w:pPr>
      <w:bookmarkStart w:id="29" w:name="_Toc525550492"/>
      <w:bookmarkStart w:id="30" w:name="_Toc514318072"/>
      <w:bookmarkStart w:id="31" w:name="_Toc470209844"/>
      <w:r w:rsidRPr="00B3418A">
        <w:t>Conclusions</w:t>
      </w:r>
      <w:bookmarkEnd w:id="29"/>
    </w:p>
    <w:p w14:paraId="154B83AB" w14:textId="77777777" w:rsidR="00B870C7" w:rsidRPr="00B870C7" w:rsidRDefault="00B870C7" w:rsidP="00DC3A19">
      <w:pPr>
        <w:spacing w:after="0" w:line="240" w:lineRule="auto"/>
      </w:pPr>
    </w:p>
    <w:p w14:paraId="391BCF3B" w14:textId="780B9023" w:rsidR="00B3418A" w:rsidRDefault="00B3418A" w:rsidP="006377E9">
      <w:pPr>
        <w:pStyle w:val="Heading2"/>
        <w:numPr>
          <w:ilvl w:val="0"/>
          <w:numId w:val="28"/>
        </w:numPr>
      </w:pPr>
      <w:bookmarkStart w:id="32" w:name="_Toc525550493"/>
      <w:r w:rsidRPr="00B3418A">
        <w:t>Key Lessons for Replication</w:t>
      </w:r>
      <w:bookmarkEnd w:id="32"/>
    </w:p>
    <w:p w14:paraId="519523B5" w14:textId="77777777" w:rsidR="00216560" w:rsidRDefault="00216560" w:rsidP="00DC3A19">
      <w:pPr>
        <w:pStyle w:val="ListParagraph"/>
        <w:ind w:left="1080"/>
        <w:contextualSpacing w:val="0"/>
        <w:rPr>
          <w:b/>
        </w:rPr>
      </w:pPr>
    </w:p>
    <w:p w14:paraId="47341B32" w14:textId="108FD81C" w:rsidR="00216560" w:rsidRDefault="00216560" w:rsidP="00DC3A19">
      <w:pPr>
        <w:spacing w:after="0" w:line="240" w:lineRule="auto"/>
        <w:rPr>
          <w:rFonts w:ascii="Palatino Linotype" w:hAnsi="Palatino Linotype"/>
        </w:rPr>
      </w:pPr>
      <w:r w:rsidRPr="00216560">
        <w:rPr>
          <w:rFonts w:ascii="Palatino Linotype" w:hAnsi="Palatino Linotype"/>
        </w:rPr>
        <w:t>In replicating programs and activities undertaken by the NJ PREP consortium, other colleges should consider the following:</w:t>
      </w:r>
    </w:p>
    <w:p w14:paraId="7962582D" w14:textId="77777777" w:rsidR="00DC3A19" w:rsidRDefault="00DC3A19" w:rsidP="00DC3A19">
      <w:pPr>
        <w:spacing w:after="0" w:line="240" w:lineRule="auto"/>
        <w:rPr>
          <w:rFonts w:ascii="Palatino Linotype" w:hAnsi="Palatino Linotype"/>
        </w:rPr>
      </w:pPr>
    </w:p>
    <w:p w14:paraId="047C6F46" w14:textId="3EE376C3" w:rsidR="00216560" w:rsidRDefault="00216560" w:rsidP="00DC3A19">
      <w:pPr>
        <w:pStyle w:val="ListParagraph"/>
        <w:numPr>
          <w:ilvl w:val="0"/>
          <w:numId w:val="20"/>
        </w:numPr>
        <w:contextualSpacing w:val="0"/>
      </w:pPr>
      <w:r>
        <w:t xml:space="preserve">Schools should consider who will maintain employer relationships after the grant period has ended and the job developer role is no longer maintained. </w:t>
      </w:r>
    </w:p>
    <w:p w14:paraId="76192E13" w14:textId="2D15B244" w:rsidR="00216560" w:rsidRDefault="00216560" w:rsidP="00216560">
      <w:pPr>
        <w:pStyle w:val="ListParagraph"/>
        <w:numPr>
          <w:ilvl w:val="0"/>
          <w:numId w:val="20"/>
        </w:numPr>
      </w:pPr>
      <w:r>
        <w:t xml:space="preserve">Although noncredit programming, such as most TAACCCT programs, can be run by the school’s CE department after the grant period has ended, grant-sponsored student supports will not be present. Therefore, schools should consider the student population they are targeting and whether they can succeed without the student supports offered during the grant period. </w:t>
      </w:r>
    </w:p>
    <w:p w14:paraId="5F04EC3D" w14:textId="5AE7D86B" w:rsidR="00216560" w:rsidRDefault="00216560" w:rsidP="00216560">
      <w:pPr>
        <w:pStyle w:val="ListParagraph"/>
        <w:numPr>
          <w:ilvl w:val="0"/>
          <w:numId w:val="20"/>
        </w:numPr>
      </w:pPr>
      <w:r>
        <w:t>Sustainability of programs after grant funding has ended is often better managed when several departments are sharing the cost of the student support/technology/equipment</w:t>
      </w:r>
    </w:p>
    <w:p w14:paraId="5F837EA5" w14:textId="6D67B74F" w:rsidR="00216560" w:rsidRDefault="00216560" w:rsidP="00216560">
      <w:pPr>
        <w:pStyle w:val="ListParagraph"/>
        <w:numPr>
          <w:ilvl w:val="0"/>
          <w:numId w:val="20"/>
        </w:numPr>
      </w:pPr>
      <w:r>
        <w:t>Students served by TAACCCT and other similar grants are often low-income, and many cannot afford student fees or book fees—therefore sustainability options should not rely on student fees to support programs post-grant</w:t>
      </w:r>
    </w:p>
    <w:p w14:paraId="6C2A3F35" w14:textId="77777777" w:rsidR="00216560" w:rsidRDefault="00216560" w:rsidP="00216560">
      <w:pPr>
        <w:pStyle w:val="ListParagraph"/>
        <w:numPr>
          <w:ilvl w:val="0"/>
          <w:numId w:val="20"/>
        </w:numPr>
      </w:pPr>
      <w:r>
        <w:lastRenderedPageBreak/>
        <w:t>Schools with institutional buy-in for specific program elements such as noncredit articulation and prior learning assessment had better outcomes than those without it. Institutional buy-in is necessary for long-lasting change</w:t>
      </w:r>
    </w:p>
    <w:p w14:paraId="5E291854" w14:textId="0DA18E24" w:rsidR="00B870C7" w:rsidRPr="00216560" w:rsidRDefault="00216560" w:rsidP="00A21D7C">
      <w:pPr>
        <w:pStyle w:val="ListParagraph"/>
        <w:numPr>
          <w:ilvl w:val="0"/>
          <w:numId w:val="20"/>
        </w:numPr>
      </w:pPr>
      <w:r>
        <w:t>When grant funds are leveraged with other grant funds, such as institutions building off successive grants, programs and activities can be scaled or expanded in steps, which can be easier for institutional implementation</w:t>
      </w:r>
      <w:r w:rsidRPr="00216560">
        <w:br/>
      </w:r>
    </w:p>
    <w:p w14:paraId="3E27866A" w14:textId="4AED904F" w:rsidR="00644420" w:rsidRDefault="00B3418A" w:rsidP="006377E9">
      <w:pPr>
        <w:pStyle w:val="Heading2"/>
      </w:pPr>
      <w:bookmarkStart w:id="33" w:name="_Toc525550494"/>
      <w:bookmarkEnd w:id="30"/>
      <w:bookmarkEnd w:id="31"/>
      <w:r w:rsidRPr="00B3418A">
        <w:t>Next Steps for Research</w:t>
      </w:r>
      <w:bookmarkEnd w:id="33"/>
    </w:p>
    <w:p w14:paraId="16C60902" w14:textId="77777777" w:rsidR="00216560" w:rsidRDefault="00216560" w:rsidP="00DC3A19">
      <w:pPr>
        <w:pStyle w:val="ListParagraph"/>
        <w:ind w:left="1080"/>
        <w:rPr>
          <w:b/>
        </w:rPr>
      </w:pPr>
    </w:p>
    <w:p w14:paraId="5A615147" w14:textId="3E0662BC" w:rsidR="003522EA" w:rsidRPr="00216560" w:rsidRDefault="00216560" w:rsidP="00DC3A19">
      <w:pPr>
        <w:pStyle w:val="ListParagraph"/>
        <w:numPr>
          <w:ilvl w:val="0"/>
          <w:numId w:val="20"/>
        </w:numPr>
      </w:pPr>
      <w:r>
        <w:t>Future research should include exploration of the i</w:t>
      </w:r>
      <w:r w:rsidR="003522EA" w:rsidRPr="00216560">
        <w:t xml:space="preserve">ntersection of </w:t>
      </w:r>
      <w:r w:rsidR="00B870C7">
        <w:t xml:space="preserve">career pathways with guided </w:t>
      </w:r>
      <w:r w:rsidR="003522EA" w:rsidRPr="00216560">
        <w:t>pathways</w:t>
      </w:r>
      <w:r w:rsidR="00B870C7">
        <w:t xml:space="preserve"> reforms</w:t>
      </w:r>
      <w:r>
        <w:t xml:space="preserve">—when are students choosing their ultimate career? </w:t>
      </w:r>
    </w:p>
    <w:p w14:paraId="572859E6" w14:textId="5B709AF2" w:rsidR="003522EA" w:rsidRPr="00216560" w:rsidRDefault="00216560" w:rsidP="00DC3A19">
      <w:pPr>
        <w:pStyle w:val="ListParagraph"/>
        <w:numPr>
          <w:ilvl w:val="0"/>
          <w:numId w:val="20"/>
        </w:numPr>
      </w:pPr>
      <w:r>
        <w:t>Next steps should also include considering a students’ m</w:t>
      </w:r>
      <w:r w:rsidR="003522EA" w:rsidRPr="00216560">
        <w:t>ovement along</w:t>
      </w:r>
      <w:r>
        <w:t xml:space="preserve"> their</w:t>
      </w:r>
      <w:r w:rsidR="003522EA" w:rsidRPr="00216560">
        <w:t xml:space="preserve"> career pathway, </w:t>
      </w:r>
      <w:r>
        <w:t xml:space="preserve">including </w:t>
      </w:r>
      <w:r w:rsidR="003522EA" w:rsidRPr="00216560">
        <w:t>advancement</w:t>
      </w:r>
      <w:r>
        <w:t xml:space="preserve"> and </w:t>
      </w:r>
      <w:r w:rsidR="00AB6DF5" w:rsidRPr="00216560">
        <w:t>second steps</w:t>
      </w:r>
      <w:r>
        <w:t>. Are students making several career moves before reaching their career goals? Are they returning to school multiple times for additional credentials or degrees?</w:t>
      </w:r>
    </w:p>
    <w:p w14:paraId="2ED6C986" w14:textId="5952B734" w:rsidR="005F23DB" w:rsidRDefault="005F23DB" w:rsidP="005F23DB">
      <w:pPr>
        <w:rPr>
          <w:b/>
        </w:rPr>
      </w:pPr>
    </w:p>
    <w:p w14:paraId="554B33A9" w14:textId="5B49CA3A" w:rsidR="005F23DB" w:rsidRDefault="005F23DB" w:rsidP="005F23DB">
      <w:pPr>
        <w:rPr>
          <w:b/>
        </w:rPr>
      </w:pPr>
    </w:p>
    <w:p w14:paraId="2F9EBA0E" w14:textId="77777777" w:rsidR="008E4A79" w:rsidRPr="009F16E2" w:rsidRDefault="008E4A79" w:rsidP="008E4A79">
      <w:pPr>
        <w:pStyle w:val="Header"/>
        <w:rPr>
          <w:rStyle w:val="outputbox"/>
          <w:rFonts w:ascii="Arial Narrow" w:hAnsi="Arial Narrow"/>
        </w:rPr>
      </w:pPr>
      <w:r w:rsidRPr="009F16E2">
        <w:rPr>
          <w:rFonts w:ascii="Arial Narrow" w:hAnsi="Arial Narrow"/>
          <w:noProof/>
          <w:sz w:val="18"/>
          <w:szCs w:val="18"/>
        </w:rPr>
        <w:drawing>
          <wp:inline distT="0" distB="0" distL="0" distR="0" wp14:anchorId="191AB93F" wp14:editId="31416308">
            <wp:extent cx="838200" cy="295275"/>
            <wp:effectExtent l="0" t="0" r="0" b="9525"/>
            <wp:docPr id="2" name="Picture 2" descr="cid:image002.png@01D2B51B.F02D9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B51B.F02D97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7546647" w14:textId="77777777" w:rsidR="008E4A79" w:rsidRPr="009F16E2" w:rsidRDefault="008E4A79" w:rsidP="008E4A79">
      <w:pPr>
        <w:pStyle w:val="NoSpacing"/>
        <w:rPr>
          <w:rFonts w:ascii="Arial Narrow" w:hAnsi="Arial Narrow" w:cs="Arial"/>
          <w:sz w:val="18"/>
          <w:szCs w:val="18"/>
        </w:rPr>
      </w:pPr>
    </w:p>
    <w:p w14:paraId="7BE49EA9" w14:textId="77777777" w:rsidR="008E4A79" w:rsidRDefault="008E4A79" w:rsidP="008E4A79">
      <w:pPr>
        <w:rPr>
          <w:rStyle w:val="Hyperlink"/>
          <w:rFonts w:ascii="Arial Narrow" w:hAnsi="Arial Narrow"/>
          <w:sz w:val="16"/>
          <w:szCs w:val="16"/>
        </w:rPr>
      </w:pPr>
      <w:r w:rsidRPr="009F16E2">
        <w:rPr>
          <w:rStyle w:val="outputbox"/>
          <w:rFonts w:ascii="Arial Narrow" w:hAnsi="Arial Narrow"/>
          <w:sz w:val="16"/>
          <w:szCs w:val="16"/>
        </w:rPr>
        <w:t>"</w:t>
      </w:r>
      <w:r w:rsidRPr="009328B3">
        <w:rPr>
          <w:rStyle w:val="outputbox"/>
          <w:rFonts w:ascii="Arial Narrow" w:hAnsi="Arial Narrow"/>
          <w:sz w:val="16"/>
          <w:szCs w:val="16"/>
        </w:rPr>
        <w:t xml:space="preserve">New Jersey Health Professions Pathways to Regional Excellence Project TAACCCT Evaluation Final Report: </w:t>
      </w:r>
      <w:r>
        <w:rPr>
          <w:rStyle w:val="outputbox"/>
          <w:rFonts w:ascii="Arial Narrow" w:hAnsi="Arial Narrow"/>
          <w:sz w:val="16"/>
          <w:szCs w:val="16"/>
        </w:rPr>
        <w:t>Executive Summary</w:t>
      </w:r>
      <w:r w:rsidRPr="009F16E2">
        <w:rPr>
          <w:rStyle w:val="outputbox"/>
          <w:rFonts w:ascii="Arial Narrow" w:hAnsi="Arial Narrow"/>
          <w:sz w:val="16"/>
          <w:szCs w:val="16"/>
        </w:rPr>
        <w:t xml:space="preserve">" by </w:t>
      </w:r>
      <w:r w:rsidRPr="008E4A79">
        <w:rPr>
          <w:rStyle w:val="outputbox"/>
          <w:rFonts w:ascii="Arial Narrow" w:hAnsi="Arial Narrow"/>
          <w:sz w:val="16"/>
          <w:szCs w:val="16"/>
        </w:rPr>
        <w:t>Michelle Van Noy, Renée Edwards, Sara B. Haviland, Heather McKay, Daniel Douglas, William Mabe, Victoria Coty, Sofia Javed, Nikolas Pardalis, and Laci Hubbard-Mattix</w:t>
      </w:r>
      <w:r w:rsidRPr="009F16E2">
        <w:rPr>
          <w:rStyle w:val="outputbox"/>
          <w:rFonts w:ascii="Arial Narrow" w:hAnsi="Arial Narrow"/>
          <w:sz w:val="16"/>
          <w:szCs w:val="16"/>
        </w:rPr>
        <w:t xml:space="preserve">, Rutgers University, Education and Employment Research Center, NJ PREP, TAACCCT Grant is licensed under </w:t>
      </w:r>
      <w:hyperlink r:id="rId14" w:tgtFrame="_blank" w:history="1">
        <w:r w:rsidRPr="009F16E2">
          <w:rPr>
            <w:rStyle w:val="Hyperlink"/>
            <w:rFonts w:ascii="Arial Narrow" w:hAnsi="Arial Narrow"/>
            <w:sz w:val="16"/>
            <w:szCs w:val="16"/>
          </w:rPr>
          <w:t>CC BY-NC-ND 4.0</w:t>
        </w:r>
      </w:hyperlink>
    </w:p>
    <w:p w14:paraId="0CA7B6C1" w14:textId="77777777" w:rsidR="008E4A79" w:rsidRPr="009F16E2" w:rsidRDefault="008E4A79" w:rsidP="008E4A79">
      <w:pPr>
        <w:rPr>
          <w:rFonts w:ascii="Arial Narrow" w:hAnsi="Arial Narrow"/>
          <w:sz w:val="18"/>
          <w:szCs w:val="18"/>
        </w:rPr>
      </w:pPr>
      <w:r w:rsidRPr="009F16E2">
        <w:rPr>
          <w:rFonts w:ascii="Arial Narrow" w:hAnsi="Arial Narrow"/>
          <w:sz w:val="16"/>
          <w:szCs w:val="16"/>
        </w:rPr>
        <w:t>&lt;a&gt;"</w:t>
      </w:r>
      <w:r w:rsidRPr="009328B3">
        <w:rPr>
          <w:rStyle w:val="outputbox"/>
          <w:rFonts w:ascii="Arial Narrow" w:hAnsi="Arial Narrow"/>
          <w:sz w:val="16"/>
          <w:szCs w:val="16"/>
        </w:rPr>
        <w:t xml:space="preserve">New Jersey Health Professions Pathways to Regional Excellence Project TAACCCT Evaluation Final Report: </w:t>
      </w:r>
      <w:r>
        <w:rPr>
          <w:rStyle w:val="outputbox"/>
          <w:rFonts w:ascii="Arial Narrow" w:hAnsi="Arial Narrow"/>
          <w:sz w:val="16"/>
          <w:szCs w:val="16"/>
        </w:rPr>
        <w:t xml:space="preserve">Executive </w:t>
      </w:r>
      <w:r w:rsidRPr="008E4A79">
        <w:rPr>
          <w:rStyle w:val="outputbox"/>
          <w:rFonts w:ascii="Arial Narrow" w:hAnsi="Arial Narrow"/>
          <w:sz w:val="16"/>
          <w:szCs w:val="16"/>
        </w:rPr>
        <w:t>Summary</w:t>
      </w:r>
      <w:r w:rsidRPr="008E4A79">
        <w:rPr>
          <w:rFonts w:ascii="Arial Narrow" w:hAnsi="Arial Narrow"/>
          <w:sz w:val="16"/>
          <w:szCs w:val="16"/>
        </w:rPr>
        <w:t>"&lt;/a&gt; by &lt;a&gt;</w:t>
      </w:r>
      <w:r w:rsidRPr="008E4A79">
        <w:t xml:space="preserve"> </w:t>
      </w:r>
      <w:r w:rsidRPr="008E4A79">
        <w:rPr>
          <w:rFonts w:ascii="Arial Narrow" w:hAnsi="Arial Narrow"/>
          <w:sz w:val="16"/>
          <w:szCs w:val="16"/>
        </w:rPr>
        <w:t>by Michelle Van Noy, Renée Edwards, Sara B. Haviland, Heather McKay, Daniel Douglas, William Mabe, Victoria Coty, Sofia Javed, Nikolas Pardalis, and Laci Hubbard-Mattix,</w:t>
      </w:r>
      <w:r w:rsidRPr="009F16E2">
        <w:rPr>
          <w:rFonts w:ascii="Arial Narrow" w:hAnsi="Arial Narrow"/>
          <w:sz w:val="16"/>
          <w:szCs w:val="16"/>
        </w:rPr>
        <w:t xml:space="preserve"> Rutgers University, Education and Employment Research Center&lt;/a&gt;, &lt;a&gt;NJ PREP&lt;/a&gt;, &lt;a&gt;TAACCCT Grant &lt;/a&gt; is licensed under &lt;a href="http://creativecommons.org/licenses/by-nc-nd/4.0" target="_blank"&gt;CC BY-NC-ND 4.0&lt;/a&gt;</w:t>
      </w:r>
    </w:p>
    <w:p w14:paraId="0A417EBD" w14:textId="77777777" w:rsidR="00160742" w:rsidRPr="00160742" w:rsidRDefault="00160742" w:rsidP="00160742">
      <w:pPr>
        <w:rPr>
          <w:rFonts w:ascii="Arial" w:hAnsi="Arial" w:cs="Arial"/>
        </w:rPr>
      </w:pPr>
      <w:r w:rsidRPr="00160742">
        <w:rPr>
          <w:rFonts w:ascii="Arial" w:hAnsi="Arial" w:cs="Arial"/>
        </w:rPr>
        <w:t>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CE97E39" w14:textId="77777777" w:rsidR="005F23DB" w:rsidRPr="005F23DB" w:rsidRDefault="005F23DB" w:rsidP="005F23DB">
      <w:pPr>
        <w:rPr>
          <w:b/>
        </w:rPr>
      </w:pPr>
    </w:p>
    <w:sectPr w:rsidR="005F23DB" w:rsidRPr="005F23DB" w:rsidSect="006377E9">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D7C4" w14:textId="77777777" w:rsidR="00107018" w:rsidRDefault="00107018" w:rsidP="00AE6A25">
      <w:pPr>
        <w:spacing w:after="0" w:line="240" w:lineRule="auto"/>
      </w:pPr>
      <w:r>
        <w:separator/>
      </w:r>
    </w:p>
  </w:endnote>
  <w:endnote w:type="continuationSeparator" w:id="0">
    <w:p w14:paraId="7E657C2F" w14:textId="77777777" w:rsidR="00107018" w:rsidRDefault="00107018" w:rsidP="00AE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Linotype-BoldItalic">
    <w:altName w:val="Palatino Linotype"/>
    <w:panose1 w:val="00000000000000000000"/>
    <w:charset w:val="00"/>
    <w:family w:val="roman"/>
    <w:notTrueType/>
    <w:pitch w:val="default"/>
    <w:sig w:usb0="00000003" w:usb1="00000000" w:usb2="00000000" w:usb3="00000000" w:csb0="00000001" w:csb1="00000000"/>
  </w:font>
  <w:font w:name="Palatino Linotype,Times New Rom">
    <w:altName w:val="Times New Roman"/>
    <w:charset w:val="4D"/>
    <w:family w:val="auto"/>
    <w:pitch w:val="variable"/>
    <w:sig w:usb0="A00002FF" w:usb1="7800205A" w:usb2="14600000" w:usb3="00000000" w:csb0="00000193"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C77E" w14:textId="48422F82" w:rsidR="00A21D7C" w:rsidRDefault="00A21D7C">
    <w:pPr>
      <w:pStyle w:val="Footer"/>
      <w:jc w:val="center"/>
    </w:pPr>
  </w:p>
  <w:p w14:paraId="2D356E56" w14:textId="77777777" w:rsidR="00A21D7C" w:rsidRDefault="00A21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82555"/>
      <w:docPartObj>
        <w:docPartGallery w:val="Page Numbers (Bottom of Page)"/>
        <w:docPartUnique/>
      </w:docPartObj>
    </w:sdtPr>
    <w:sdtEndPr>
      <w:rPr>
        <w:rFonts w:ascii="Palatino Linotype" w:hAnsi="Palatino Linotype"/>
        <w:noProof/>
        <w:sz w:val="20"/>
        <w:szCs w:val="20"/>
      </w:rPr>
    </w:sdtEndPr>
    <w:sdtContent>
      <w:p w14:paraId="3328CD7F" w14:textId="6948C290" w:rsidR="00A21D7C" w:rsidRPr="006377E9" w:rsidRDefault="00A21D7C">
        <w:pPr>
          <w:pStyle w:val="Footer"/>
          <w:jc w:val="center"/>
          <w:rPr>
            <w:rFonts w:ascii="Palatino Linotype" w:hAnsi="Palatino Linotype"/>
            <w:sz w:val="20"/>
            <w:szCs w:val="20"/>
          </w:rPr>
        </w:pPr>
        <w:r w:rsidRPr="006377E9">
          <w:rPr>
            <w:rFonts w:ascii="Palatino Linotype" w:hAnsi="Palatino Linotype"/>
            <w:sz w:val="20"/>
            <w:szCs w:val="20"/>
          </w:rPr>
          <w:fldChar w:fldCharType="begin"/>
        </w:r>
        <w:r w:rsidRPr="006377E9">
          <w:rPr>
            <w:rFonts w:ascii="Palatino Linotype" w:hAnsi="Palatino Linotype"/>
            <w:sz w:val="20"/>
            <w:szCs w:val="20"/>
          </w:rPr>
          <w:instrText xml:space="preserve"> PAGE   \* MERGEFORMAT </w:instrText>
        </w:r>
        <w:r w:rsidRPr="006377E9">
          <w:rPr>
            <w:rFonts w:ascii="Palatino Linotype" w:hAnsi="Palatino Linotype"/>
            <w:sz w:val="20"/>
            <w:szCs w:val="20"/>
          </w:rPr>
          <w:fldChar w:fldCharType="separate"/>
        </w:r>
        <w:r w:rsidR="0044196B">
          <w:rPr>
            <w:rFonts w:ascii="Palatino Linotype" w:hAnsi="Palatino Linotype"/>
            <w:noProof/>
            <w:sz w:val="20"/>
            <w:szCs w:val="20"/>
          </w:rPr>
          <w:t>14</w:t>
        </w:r>
        <w:r w:rsidRPr="006377E9">
          <w:rPr>
            <w:rFonts w:ascii="Palatino Linotype" w:hAnsi="Palatino Linotype"/>
            <w:noProof/>
            <w:sz w:val="20"/>
            <w:szCs w:val="20"/>
          </w:rPr>
          <w:fldChar w:fldCharType="end"/>
        </w:r>
      </w:p>
    </w:sdtContent>
  </w:sdt>
  <w:p w14:paraId="3F606278" w14:textId="77777777" w:rsidR="00A21D7C" w:rsidRDefault="00A2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4975" w14:textId="77777777" w:rsidR="00107018" w:rsidRDefault="00107018" w:rsidP="00AE6A25">
      <w:pPr>
        <w:spacing w:after="0" w:line="240" w:lineRule="auto"/>
      </w:pPr>
      <w:r>
        <w:separator/>
      </w:r>
    </w:p>
  </w:footnote>
  <w:footnote w:type="continuationSeparator" w:id="0">
    <w:p w14:paraId="116C0682" w14:textId="77777777" w:rsidR="00107018" w:rsidRDefault="00107018" w:rsidP="00AE6A25">
      <w:pPr>
        <w:spacing w:after="0" w:line="240" w:lineRule="auto"/>
      </w:pPr>
      <w:r>
        <w:continuationSeparator/>
      </w:r>
    </w:p>
  </w:footnote>
  <w:footnote w:id="1">
    <w:p w14:paraId="0DCB529F" w14:textId="081B3CA6" w:rsidR="00A21D7C" w:rsidRPr="007A3B72" w:rsidRDefault="00A21D7C">
      <w:pPr>
        <w:pStyle w:val="FootnoteText"/>
        <w:rPr>
          <w:rFonts w:ascii="Palatino Linotype" w:hAnsi="Palatino Linotype"/>
          <w:sz w:val="18"/>
          <w:szCs w:val="18"/>
        </w:rPr>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Maguire, Sheila, Freely, Joshua et al. Tuning into Local Labor Markets, Findings from the Sectoral Impact Study, Public Private Ventures, 2010. http://www.ppv.issuelab.org/resource/tuning_in_to_local_labor_markets_findings_from_the_sectoral_employment_impact_study  </w:t>
      </w:r>
    </w:p>
  </w:footnote>
  <w:footnote w:id="2">
    <w:p w14:paraId="05EF1D4C" w14:textId="79E72B4B" w:rsidR="00A21D7C" w:rsidRPr="007A3B72" w:rsidRDefault="00A21D7C">
      <w:pPr>
        <w:pStyle w:val="FootnoteText"/>
        <w:rPr>
          <w:rFonts w:ascii="Palatino Linotype" w:hAnsi="Palatino Linotype"/>
          <w:sz w:val="18"/>
          <w:szCs w:val="18"/>
        </w:rPr>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Klein Collins, Rebecca. “Fueling the Race to Post-Secondary Success: A 48-Institution Study of Prior Learning Assessment and Adult Student Outcomes” Council for Adult and Experiential Learning, March 2010. http://www.cael.org/pdf/PLA_Fueling-the-Race.pdf</w:t>
      </w:r>
    </w:p>
  </w:footnote>
  <w:footnote w:id="3">
    <w:p w14:paraId="23EC23D2" w14:textId="7DBAFDFE" w:rsidR="00A21D7C" w:rsidRPr="007A3B72" w:rsidRDefault="00A21D7C">
      <w:pPr>
        <w:pStyle w:val="FootnoteText"/>
        <w:rPr>
          <w:rFonts w:ascii="Palatino Linotype" w:hAnsi="Palatino Linotype"/>
          <w:sz w:val="18"/>
          <w:szCs w:val="18"/>
        </w:rPr>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David Jenkins, Ceclia Speroni, et. al (2010). A Model for Accelerating Academic Success of Community College Remedial English Students: Is the Accelerated Learning Program Effective and Affordable? Community College Research Center Working Paper Number 21.  Martin, Vanessa and Joseph Broadus (2013) Enhancing GED Instruction to Prepare Students for College and Careers, MDRC</w:t>
      </w:r>
    </w:p>
  </w:footnote>
  <w:footnote w:id="4">
    <w:p w14:paraId="61F761ED" w14:textId="2372C175" w:rsidR="00A21D7C" w:rsidRPr="007A3B72" w:rsidRDefault="00A21D7C">
      <w:pPr>
        <w:pStyle w:val="FootnoteText"/>
        <w:rPr>
          <w:rFonts w:ascii="Palatino Linotype" w:hAnsi="Palatino Linotype"/>
          <w:sz w:val="18"/>
          <w:szCs w:val="18"/>
        </w:rPr>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David Jenkins and Madeline Joy Weiss. (2011) Charting Pathways to Completion for Low-skilled Community College Students. Community College Research Center Working Paper Number 34.</w:t>
      </w:r>
    </w:p>
  </w:footnote>
  <w:footnote w:id="5">
    <w:p w14:paraId="656037C0" w14:textId="17E74911" w:rsidR="00A21D7C" w:rsidRPr="007A3B72" w:rsidRDefault="00A21D7C">
      <w:pPr>
        <w:pStyle w:val="FootnoteText"/>
        <w:rPr>
          <w:rFonts w:ascii="Palatino Linotype" w:hAnsi="Palatino Linotype"/>
          <w:sz w:val="18"/>
          <w:szCs w:val="18"/>
        </w:rPr>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William G. Bowen, Matthew M. Chingos, et al. Interactive Learning Online at Public Universities: Evidence from Randomized Trials, May 22, 2012; http://www.sr.ithaka.org/research-publications/interactive-learning-online-public-universities-evidence-randomized-trials</w:t>
      </w:r>
    </w:p>
  </w:footnote>
  <w:footnote w:id="6">
    <w:p w14:paraId="0931BB7D" w14:textId="643642D1" w:rsidR="00A21D7C" w:rsidRPr="007A3B72" w:rsidRDefault="00A21D7C">
      <w:pPr>
        <w:pStyle w:val="FootnoteText"/>
        <w:rPr>
          <w:rFonts w:ascii="Palatino Linotype" w:hAnsi="Palatino Linotype"/>
          <w:sz w:val="18"/>
          <w:szCs w:val="18"/>
        </w:rPr>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Johnston, B., Boyle, L., MacArthur, E., &amp; Manion, B. F. (2012). The role of technology and gaming in nurse education. Nursing Standard, 27, 28, 35-38.</w:t>
      </w:r>
    </w:p>
  </w:footnote>
  <w:footnote w:id="7">
    <w:p w14:paraId="66086823" w14:textId="0CFFE3D3" w:rsidR="00A21D7C" w:rsidRDefault="00A21D7C">
      <w:pPr>
        <w:pStyle w:val="FootnoteText"/>
      </w:pPr>
      <w:r w:rsidRPr="007A3B72">
        <w:rPr>
          <w:rStyle w:val="FootnoteReference"/>
          <w:rFonts w:ascii="Palatino Linotype" w:hAnsi="Palatino Linotype"/>
          <w:sz w:val="18"/>
          <w:szCs w:val="18"/>
        </w:rPr>
        <w:footnoteRef/>
      </w:r>
      <w:r w:rsidRPr="007A3B72">
        <w:rPr>
          <w:rFonts w:ascii="Palatino Linotype" w:hAnsi="Palatino Linotype"/>
          <w:sz w:val="18"/>
          <w:szCs w:val="18"/>
        </w:rPr>
        <w:t xml:space="preserve"> Newman, Stokes and Bryant (2013). “LEARNING TO ADAPT: A Case for Accelerating Adaptive Learning in Higher Education” Education Growth Advisors. Retrieved June 2014.</w:t>
      </w:r>
    </w:p>
  </w:footnote>
  <w:footnote w:id="8">
    <w:p w14:paraId="67ECDE18" w14:textId="1F607199" w:rsidR="00A21D7C" w:rsidRPr="00D348ED" w:rsidRDefault="00A21D7C">
      <w:pPr>
        <w:pStyle w:val="FootnoteText"/>
        <w:rPr>
          <w:rFonts w:ascii="Palatino Linotype" w:hAnsi="Palatino Linotype"/>
        </w:rPr>
      </w:pPr>
      <w:r w:rsidRPr="00D348ED">
        <w:rPr>
          <w:rStyle w:val="FootnoteReference"/>
          <w:rFonts w:ascii="Palatino Linotype" w:hAnsi="Palatino Linotype"/>
        </w:rPr>
        <w:footnoteRef/>
      </w:r>
      <w:r w:rsidRPr="00D348ED">
        <w:rPr>
          <w:rFonts w:ascii="Palatino Linotype" w:hAnsi="Palatino Linotype"/>
        </w:rPr>
        <w:t xml:space="preserve"> Lateef, Fatimah; Simulation-based learning; Just like the real thing, Journal of Emergencies, Trauma, and Shock 2010 Oct-Dec; 3 (4): 348-352.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679"/>
    <w:multiLevelType w:val="hybridMultilevel"/>
    <w:tmpl w:val="DA44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E7E3D"/>
    <w:multiLevelType w:val="hybridMultilevel"/>
    <w:tmpl w:val="96605DF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D1553D"/>
    <w:multiLevelType w:val="hybridMultilevel"/>
    <w:tmpl w:val="7C5654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2A1B60"/>
    <w:multiLevelType w:val="hybridMultilevel"/>
    <w:tmpl w:val="AFFCDF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42BC2"/>
    <w:multiLevelType w:val="hybridMultilevel"/>
    <w:tmpl w:val="9FE4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A8230E"/>
    <w:multiLevelType w:val="hybridMultilevel"/>
    <w:tmpl w:val="9D240806"/>
    <w:lvl w:ilvl="0" w:tplc="0172EB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7496F"/>
    <w:multiLevelType w:val="hybridMultilevel"/>
    <w:tmpl w:val="EA5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C2A21"/>
    <w:multiLevelType w:val="hybridMultilevel"/>
    <w:tmpl w:val="0D48E114"/>
    <w:lvl w:ilvl="0" w:tplc="624EA2B2">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4661B9"/>
    <w:multiLevelType w:val="hybridMultilevel"/>
    <w:tmpl w:val="6B9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C5A74"/>
    <w:multiLevelType w:val="hybridMultilevel"/>
    <w:tmpl w:val="9E60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B5D5C"/>
    <w:multiLevelType w:val="hybridMultilevel"/>
    <w:tmpl w:val="6A06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0B6"/>
    <w:multiLevelType w:val="hybridMultilevel"/>
    <w:tmpl w:val="7F60E4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8E36B8F"/>
    <w:multiLevelType w:val="hybridMultilevel"/>
    <w:tmpl w:val="84B0F08C"/>
    <w:lvl w:ilvl="0" w:tplc="308A9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A2528"/>
    <w:multiLevelType w:val="hybridMultilevel"/>
    <w:tmpl w:val="570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5588C"/>
    <w:multiLevelType w:val="hybridMultilevel"/>
    <w:tmpl w:val="9BC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55E90"/>
    <w:multiLevelType w:val="hybridMultilevel"/>
    <w:tmpl w:val="18BE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56FF1"/>
    <w:multiLevelType w:val="hybridMultilevel"/>
    <w:tmpl w:val="AB88F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E316CA"/>
    <w:multiLevelType w:val="hybridMultilevel"/>
    <w:tmpl w:val="1D302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45C71"/>
    <w:multiLevelType w:val="hybridMultilevel"/>
    <w:tmpl w:val="C40C92AE"/>
    <w:lvl w:ilvl="0" w:tplc="7BE8D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ED6446"/>
    <w:multiLevelType w:val="hybridMultilevel"/>
    <w:tmpl w:val="42B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16BC2"/>
    <w:multiLevelType w:val="hybridMultilevel"/>
    <w:tmpl w:val="633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F4B3A"/>
    <w:multiLevelType w:val="hybridMultilevel"/>
    <w:tmpl w:val="1158A244"/>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1"/>
  </w:num>
  <w:num w:numId="3">
    <w:abstractNumId w:val="12"/>
  </w:num>
  <w:num w:numId="4">
    <w:abstractNumId w:val="7"/>
  </w:num>
  <w:num w:numId="5">
    <w:abstractNumId w:val="5"/>
  </w:num>
  <w:num w:numId="6">
    <w:abstractNumId w:val="17"/>
  </w:num>
  <w:num w:numId="7">
    <w:abstractNumId w:val="3"/>
  </w:num>
  <w:num w:numId="8">
    <w:abstractNumId w:val="4"/>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0"/>
  </w:num>
  <w:num w:numId="13">
    <w:abstractNumId w:val="0"/>
  </w:num>
  <w:num w:numId="14">
    <w:abstractNumId w:val="6"/>
  </w:num>
  <w:num w:numId="15">
    <w:abstractNumId w:val="11"/>
  </w:num>
  <w:num w:numId="16">
    <w:abstractNumId w:val="14"/>
  </w:num>
  <w:num w:numId="17">
    <w:abstractNumId w:val="15"/>
  </w:num>
  <w:num w:numId="18">
    <w:abstractNumId w:val="16"/>
  </w:num>
  <w:num w:numId="19">
    <w:abstractNumId w:val="13"/>
  </w:num>
  <w:num w:numId="20">
    <w:abstractNumId w:val="10"/>
  </w:num>
  <w:num w:numId="21">
    <w:abstractNumId w:val="19"/>
  </w:num>
  <w:num w:numId="22">
    <w:abstractNumId w:val="9"/>
  </w:num>
  <w:num w:numId="23">
    <w:abstractNumId w:val="20"/>
  </w:num>
  <w:num w:numId="24">
    <w:abstractNumId w:val="8"/>
  </w:num>
  <w:num w:numId="25">
    <w:abstractNumId w:val="2"/>
  </w:num>
  <w:num w:numId="26">
    <w:abstractNumId w:val="1"/>
  </w:num>
  <w:num w:numId="27">
    <w:abstractNumId w:val="7"/>
    <w:lvlOverride w:ilvl="0">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6"/>
    <w:rsid w:val="000C5F36"/>
    <w:rsid w:val="00107018"/>
    <w:rsid w:val="00142141"/>
    <w:rsid w:val="00160742"/>
    <w:rsid w:val="001D5492"/>
    <w:rsid w:val="00202919"/>
    <w:rsid w:val="00216560"/>
    <w:rsid w:val="002572C7"/>
    <w:rsid w:val="00262733"/>
    <w:rsid w:val="0026556A"/>
    <w:rsid w:val="002A6260"/>
    <w:rsid w:val="0031762C"/>
    <w:rsid w:val="00317A0C"/>
    <w:rsid w:val="003275B0"/>
    <w:rsid w:val="003522EA"/>
    <w:rsid w:val="003B59FD"/>
    <w:rsid w:val="00404B2F"/>
    <w:rsid w:val="0044196B"/>
    <w:rsid w:val="004568C1"/>
    <w:rsid w:val="0047053F"/>
    <w:rsid w:val="00502330"/>
    <w:rsid w:val="00531D5E"/>
    <w:rsid w:val="005F23DB"/>
    <w:rsid w:val="006377E9"/>
    <w:rsid w:val="00644420"/>
    <w:rsid w:val="006B3453"/>
    <w:rsid w:val="006F0BC1"/>
    <w:rsid w:val="00700CC6"/>
    <w:rsid w:val="007308D2"/>
    <w:rsid w:val="007A3B72"/>
    <w:rsid w:val="007C05BE"/>
    <w:rsid w:val="007D51E7"/>
    <w:rsid w:val="007F5A5E"/>
    <w:rsid w:val="00800334"/>
    <w:rsid w:val="008E01F9"/>
    <w:rsid w:val="008E4A79"/>
    <w:rsid w:val="009218C3"/>
    <w:rsid w:val="00922FC8"/>
    <w:rsid w:val="00956714"/>
    <w:rsid w:val="00987548"/>
    <w:rsid w:val="00995937"/>
    <w:rsid w:val="009C21B6"/>
    <w:rsid w:val="00A21D7C"/>
    <w:rsid w:val="00A31D0F"/>
    <w:rsid w:val="00A410D5"/>
    <w:rsid w:val="00A85706"/>
    <w:rsid w:val="00AB6DF5"/>
    <w:rsid w:val="00AE6A25"/>
    <w:rsid w:val="00B3418A"/>
    <w:rsid w:val="00B83848"/>
    <w:rsid w:val="00B870C7"/>
    <w:rsid w:val="00C93C37"/>
    <w:rsid w:val="00CB4F11"/>
    <w:rsid w:val="00CB7032"/>
    <w:rsid w:val="00D01306"/>
    <w:rsid w:val="00D348ED"/>
    <w:rsid w:val="00D50165"/>
    <w:rsid w:val="00D65DB1"/>
    <w:rsid w:val="00DA5DAF"/>
    <w:rsid w:val="00DC3A19"/>
    <w:rsid w:val="00E0205C"/>
    <w:rsid w:val="00E06408"/>
    <w:rsid w:val="00E06A49"/>
    <w:rsid w:val="00E40342"/>
    <w:rsid w:val="00E83720"/>
    <w:rsid w:val="00EC2EC8"/>
    <w:rsid w:val="00EE7B9F"/>
    <w:rsid w:val="00F7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03A4"/>
  <w15:chartTrackingRefBased/>
  <w15:docId w15:val="{FB92D6EC-DFDB-41D4-B541-AE1D6BE1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D01306"/>
    <w:pPr>
      <w:numPr>
        <w:numId w:val="0"/>
      </w:numPr>
      <w:ind w:left="1080" w:hanging="360"/>
      <w:outlineLvl w:val="0"/>
    </w:pPr>
  </w:style>
  <w:style w:type="paragraph" w:styleId="Heading2">
    <w:name w:val="heading 2"/>
    <w:basedOn w:val="Normal"/>
    <w:next w:val="Normal"/>
    <w:link w:val="Heading2Char"/>
    <w:uiPriority w:val="9"/>
    <w:unhideWhenUsed/>
    <w:qFormat/>
    <w:rsid w:val="003B59FD"/>
    <w:pPr>
      <w:keepNext/>
      <w:keepLines/>
      <w:numPr>
        <w:numId w:val="4"/>
      </w:numPr>
      <w:spacing w:after="0" w:line="240" w:lineRule="auto"/>
      <w:outlineLvl w:val="1"/>
    </w:pPr>
    <w:rPr>
      <w:rFonts w:ascii="Palatino Linotype" w:eastAsiaTheme="majorEastAsia" w:hAnsi="Palatino Linotype"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306"/>
    <w:rPr>
      <w:rFonts w:ascii="Palatino Linotype" w:eastAsiaTheme="majorEastAsia" w:hAnsi="Palatino Linotype" w:cstheme="majorBidi"/>
      <w:b/>
      <w:szCs w:val="26"/>
    </w:rPr>
  </w:style>
  <w:style w:type="paragraph" w:styleId="TOCHeading">
    <w:name w:val="TOC Heading"/>
    <w:basedOn w:val="Heading1"/>
    <w:next w:val="Normal"/>
    <w:uiPriority w:val="39"/>
    <w:unhideWhenUsed/>
    <w:qFormat/>
    <w:rsid w:val="00D01306"/>
    <w:pPr>
      <w:outlineLvl w:val="9"/>
    </w:pPr>
  </w:style>
  <w:style w:type="character" w:customStyle="1" w:styleId="Heading2Char">
    <w:name w:val="Heading 2 Char"/>
    <w:basedOn w:val="DefaultParagraphFont"/>
    <w:link w:val="Heading2"/>
    <w:uiPriority w:val="9"/>
    <w:rsid w:val="003B59FD"/>
    <w:rPr>
      <w:rFonts w:ascii="Palatino Linotype" w:eastAsiaTheme="majorEastAsia" w:hAnsi="Palatino Linotype" w:cstheme="majorBidi"/>
      <w:b/>
      <w:szCs w:val="26"/>
    </w:rPr>
  </w:style>
  <w:style w:type="paragraph" w:styleId="TOC1">
    <w:name w:val="toc 1"/>
    <w:basedOn w:val="Normal"/>
    <w:next w:val="Normal"/>
    <w:autoRedefine/>
    <w:uiPriority w:val="39"/>
    <w:unhideWhenUsed/>
    <w:rsid w:val="00D01306"/>
    <w:pPr>
      <w:spacing w:after="100"/>
    </w:pPr>
  </w:style>
  <w:style w:type="character" w:styleId="Hyperlink">
    <w:name w:val="Hyperlink"/>
    <w:basedOn w:val="DefaultParagraphFont"/>
    <w:uiPriority w:val="99"/>
    <w:unhideWhenUsed/>
    <w:rsid w:val="00D01306"/>
    <w:rPr>
      <w:color w:val="0563C1" w:themeColor="hyperlink"/>
      <w:u w:val="single"/>
    </w:rPr>
  </w:style>
  <w:style w:type="table" w:styleId="TableGrid">
    <w:name w:val="Table Grid"/>
    <w:basedOn w:val="TableNormal"/>
    <w:uiPriority w:val="39"/>
    <w:rsid w:val="00D0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4420"/>
    <w:pPr>
      <w:spacing w:after="0" w:line="240" w:lineRule="auto"/>
      <w:ind w:left="720"/>
      <w:contextualSpacing/>
    </w:pPr>
    <w:rPr>
      <w:rFonts w:ascii="Palatino Linotype" w:eastAsiaTheme="minorEastAsia" w:hAnsi="Palatino Linotype"/>
      <w:lang w:eastAsia="zh-CN"/>
    </w:rPr>
  </w:style>
  <w:style w:type="paragraph" w:styleId="TOC2">
    <w:name w:val="toc 2"/>
    <w:basedOn w:val="Normal"/>
    <w:next w:val="Normal"/>
    <w:autoRedefine/>
    <w:uiPriority w:val="39"/>
    <w:unhideWhenUsed/>
    <w:rsid w:val="002A6260"/>
    <w:pPr>
      <w:spacing w:after="100"/>
      <w:ind w:left="220"/>
    </w:pPr>
  </w:style>
  <w:style w:type="paragraph" w:styleId="FootnoteText">
    <w:name w:val="footnote text"/>
    <w:basedOn w:val="Normal"/>
    <w:link w:val="FootnoteTextChar"/>
    <w:uiPriority w:val="99"/>
    <w:semiHidden/>
    <w:unhideWhenUsed/>
    <w:rsid w:val="00AE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A25"/>
    <w:rPr>
      <w:sz w:val="20"/>
      <w:szCs w:val="20"/>
    </w:rPr>
  </w:style>
  <w:style w:type="character" w:styleId="FootnoteReference">
    <w:name w:val="footnote reference"/>
    <w:basedOn w:val="DefaultParagraphFont"/>
    <w:uiPriority w:val="99"/>
    <w:semiHidden/>
    <w:unhideWhenUsed/>
    <w:rsid w:val="00AE6A25"/>
    <w:rPr>
      <w:vertAlign w:val="superscript"/>
    </w:rPr>
  </w:style>
  <w:style w:type="paragraph" w:styleId="NoSpacing">
    <w:name w:val="No Spacing"/>
    <w:link w:val="NoSpacingChar"/>
    <w:uiPriority w:val="1"/>
    <w:qFormat/>
    <w:rsid w:val="0020291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F23DB"/>
    <w:rPr>
      <w:rFonts w:ascii="Calibri" w:eastAsia="Calibri" w:hAnsi="Calibri" w:cs="Times New Roman"/>
    </w:rPr>
  </w:style>
  <w:style w:type="paragraph" w:customStyle="1" w:styleId="TableHead">
    <w:name w:val="TableHead"/>
    <w:basedOn w:val="NoSpacing"/>
    <w:autoRedefine/>
    <w:qFormat/>
    <w:rsid w:val="005F23DB"/>
    <w:pPr>
      <w:jc w:val="center"/>
    </w:pPr>
    <w:rPr>
      <w:rFonts w:ascii="Palatino Linotype" w:eastAsiaTheme="minorHAnsi" w:hAnsi="Palatino Linotype" w:cstheme="minorBidi"/>
      <w:b/>
      <w:caps/>
      <w:sz w:val="20"/>
    </w:rPr>
  </w:style>
  <w:style w:type="paragraph" w:customStyle="1" w:styleId="Table10">
    <w:name w:val="Table10"/>
    <w:basedOn w:val="NoSpacing"/>
    <w:autoRedefine/>
    <w:qFormat/>
    <w:rsid w:val="005F23DB"/>
    <w:rPr>
      <w:rFonts w:ascii="Palatino Linotype" w:eastAsia="Times New Roman" w:hAnsi="Palatino Linotype" w:cstheme="minorBidi"/>
      <w:color w:val="000000"/>
    </w:rPr>
  </w:style>
  <w:style w:type="table" w:customStyle="1" w:styleId="ListTable4-Accent21">
    <w:name w:val="List Table 4 - Accent 21"/>
    <w:basedOn w:val="TableNormal"/>
    <w:uiPriority w:val="49"/>
    <w:rsid w:val="005F23DB"/>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987548"/>
    <w:rPr>
      <w:sz w:val="16"/>
      <w:szCs w:val="16"/>
    </w:rPr>
  </w:style>
  <w:style w:type="paragraph" w:styleId="CommentText">
    <w:name w:val="annotation text"/>
    <w:basedOn w:val="Normal"/>
    <w:link w:val="CommentTextChar"/>
    <w:uiPriority w:val="99"/>
    <w:semiHidden/>
    <w:unhideWhenUsed/>
    <w:rsid w:val="00987548"/>
    <w:pPr>
      <w:spacing w:line="240" w:lineRule="auto"/>
    </w:pPr>
    <w:rPr>
      <w:sz w:val="20"/>
      <w:szCs w:val="20"/>
    </w:rPr>
  </w:style>
  <w:style w:type="character" w:customStyle="1" w:styleId="CommentTextChar">
    <w:name w:val="Comment Text Char"/>
    <w:basedOn w:val="DefaultParagraphFont"/>
    <w:link w:val="CommentText"/>
    <w:uiPriority w:val="99"/>
    <w:semiHidden/>
    <w:rsid w:val="00987548"/>
    <w:rPr>
      <w:sz w:val="20"/>
      <w:szCs w:val="20"/>
    </w:rPr>
  </w:style>
  <w:style w:type="paragraph" w:styleId="CommentSubject">
    <w:name w:val="annotation subject"/>
    <w:basedOn w:val="CommentText"/>
    <w:next w:val="CommentText"/>
    <w:link w:val="CommentSubjectChar"/>
    <w:uiPriority w:val="99"/>
    <w:semiHidden/>
    <w:unhideWhenUsed/>
    <w:rsid w:val="00987548"/>
    <w:rPr>
      <w:b/>
      <w:bCs/>
    </w:rPr>
  </w:style>
  <w:style w:type="character" w:customStyle="1" w:styleId="CommentSubjectChar">
    <w:name w:val="Comment Subject Char"/>
    <w:basedOn w:val="CommentTextChar"/>
    <w:link w:val="CommentSubject"/>
    <w:uiPriority w:val="99"/>
    <w:semiHidden/>
    <w:rsid w:val="00987548"/>
    <w:rPr>
      <w:b/>
      <w:bCs/>
      <w:sz w:val="20"/>
      <w:szCs w:val="20"/>
    </w:rPr>
  </w:style>
  <w:style w:type="paragraph" w:styleId="BalloonText">
    <w:name w:val="Balloon Text"/>
    <w:basedOn w:val="Normal"/>
    <w:link w:val="BalloonTextChar"/>
    <w:uiPriority w:val="99"/>
    <w:semiHidden/>
    <w:unhideWhenUsed/>
    <w:rsid w:val="0098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48"/>
    <w:rPr>
      <w:rFonts w:ascii="Segoe UI" w:hAnsi="Segoe UI" w:cs="Segoe UI"/>
      <w:sz w:val="18"/>
      <w:szCs w:val="18"/>
    </w:rPr>
  </w:style>
  <w:style w:type="paragraph" w:customStyle="1" w:styleId="Default">
    <w:name w:val="Default"/>
    <w:rsid w:val="002165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216560"/>
  </w:style>
  <w:style w:type="paragraph" w:customStyle="1" w:styleId="MediumGrid21">
    <w:name w:val="Medium Grid 21"/>
    <w:qFormat/>
    <w:rsid w:val="00216560"/>
    <w:pPr>
      <w:suppressAutoHyphens/>
      <w:spacing w:after="0" w:line="100" w:lineRule="atLeast"/>
    </w:pPr>
    <w:rPr>
      <w:rFonts w:ascii="Calibri" w:eastAsia="Arial Unicode MS" w:hAnsi="Calibri" w:cs="Calibri"/>
      <w:kern w:val="2"/>
      <w:lang w:eastAsia="ar-SA"/>
    </w:rPr>
  </w:style>
  <w:style w:type="paragraph" w:customStyle="1" w:styleId="Heading31">
    <w:name w:val="Heading 31"/>
    <w:basedOn w:val="Normal"/>
    <w:next w:val="Normal"/>
    <w:uiPriority w:val="9"/>
    <w:unhideWhenUsed/>
    <w:rsid w:val="00B870C7"/>
    <w:pPr>
      <w:keepNext/>
      <w:keepLines/>
      <w:spacing w:before="200" w:after="200" w:line="276" w:lineRule="auto"/>
      <w:outlineLvl w:val="2"/>
    </w:pPr>
    <w:rPr>
      <w:rFonts w:ascii="Lato" w:eastAsia="MS Gothic" w:hAnsi="Lato" w:cs="Times New Roman"/>
      <w:b/>
      <w:bCs/>
      <w:color w:val="4F81BD"/>
    </w:rPr>
  </w:style>
  <w:style w:type="paragraph" w:styleId="Header">
    <w:name w:val="header"/>
    <w:link w:val="HeaderChar"/>
    <w:uiPriority w:val="99"/>
    <w:rsid w:val="00D348ED"/>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uiPriority w:val="99"/>
    <w:rsid w:val="00D348ED"/>
    <w:rPr>
      <w:rFonts w:ascii="Calibri" w:eastAsia="Calibri" w:hAnsi="Calibri" w:cs="Calibri"/>
      <w:color w:val="000000"/>
      <w:u w:color="000000"/>
      <w:bdr w:val="nil"/>
    </w:rPr>
  </w:style>
  <w:style w:type="character" w:customStyle="1" w:styleId="outputbox">
    <w:name w:val="outputbox"/>
    <w:basedOn w:val="DefaultParagraphFont"/>
    <w:rsid w:val="00D348ED"/>
  </w:style>
  <w:style w:type="paragraph" w:styleId="Footer">
    <w:name w:val="footer"/>
    <w:basedOn w:val="Normal"/>
    <w:link w:val="FooterChar"/>
    <w:uiPriority w:val="99"/>
    <w:unhideWhenUsed/>
    <w:rsid w:val="0063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758">
      <w:bodyDiv w:val="1"/>
      <w:marLeft w:val="0"/>
      <w:marRight w:val="0"/>
      <w:marTop w:val="0"/>
      <w:marBottom w:val="0"/>
      <w:divBdr>
        <w:top w:val="none" w:sz="0" w:space="0" w:color="auto"/>
        <w:left w:val="none" w:sz="0" w:space="0" w:color="auto"/>
        <w:bottom w:val="none" w:sz="0" w:space="0" w:color="auto"/>
        <w:right w:val="none" w:sz="0" w:space="0" w:color="auto"/>
      </w:divBdr>
    </w:div>
    <w:div w:id="212622664">
      <w:bodyDiv w:val="1"/>
      <w:marLeft w:val="0"/>
      <w:marRight w:val="0"/>
      <w:marTop w:val="0"/>
      <w:marBottom w:val="0"/>
      <w:divBdr>
        <w:top w:val="none" w:sz="0" w:space="0" w:color="auto"/>
        <w:left w:val="none" w:sz="0" w:space="0" w:color="auto"/>
        <w:bottom w:val="none" w:sz="0" w:space="0" w:color="auto"/>
        <w:right w:val="none" w:sz="0" w:space="0" w:color="auto"/>
      </w:divBdr>
    </w:div>
    <w:div w:id="308562819">
      <w:bodyDiv w:val="1"/>
      <w:marLeft w:val="0"/>
      <w:marRight w:val="0"/>
      <w:marTop w:val="0"/>
      <w:marBottom w:val="0"/>
      <w:divBdr>
        <w:top w:val="none" w:sz="0" w:space="0" w:color="auto"/>
        <w:left w:val="none" w:sz="0" w:space="0" w:color="auto"/>
        <w:bottom w:val="none" w:sz="0" w:space="0" w:color="auto"/>
        <w:right w:val="none" w:sz="0" w:space="0" w:color="auto"/>
      </w:divBdr>
    </w:div>
    <w:div w:id="494954418">
      <w:bodyDiv w:val="1"/>
      <w:marLeft w:val="0"/>
      <w:marRight w:val="0"/>
      <w:marTop w:val="0"/>
      <w:marBottom w:val="0"/>
      <w:divBdr>
        <w:top w:val="none" w:sz="0" w:space="0" w:color="auto"/>
        <w:left w:val="none" w:sz="0" w:space="0" w:color="auto"/>
        <w:bottom w:val="none" w:sz="0" w:space="0" w:color="auto"/>
        <w:right w:val="none" w:sz="0" w:space="0" w:color="auto"/>
      </w:divBdr>
    </w:div>
    <w:div w:id="503017309">
      <w:bodyDiv w:val="1"/>
      <w:marLeft w:val="0"/>
      <w:marRight w:val="0"/>
      <w:marTop w:val="0"/>
      <w:marBottom w:val="0"/>
      <w:divBdr>
        <w:top w:val="none" w:sz="0" w:space="0" w:color="auto"/>
        <w:left w:val="none" w:sz="0" w:space="0" w:color="auto"/>
        <w:bottom w:val="none" w:sz="0" w:space="0" w:color="auto"/>
        <w:right w:val="none" w:sz="0" w:space="0" w:color="auto"/>
      </w:divBdr>
    </w:div>
    <w:div w:id="510685740">
      <w:bodyDiv w:val="1"/>
      <w:marLeft w:val="0"/>
      <w:marRight w:val="0"/>
      <w:marTop w:val="0"/>
      <w:marBottom w:val="0"/>
      <w:divBdr>
        <w:top w:val="none" w:sz="0" w:space="0" w:color="auto"/>
        <w:left w:val="none" w:sz="0" w:space="0" w:color="auto"/>
        <w:bottom w:val="none" w:sz="0" w:space="0" w:color="auto"/>
        <w:right w:val="none" w:sz="0" w:space="0" w:color="auto"/>
      </w:divBdr>
    </w:div>
    <w:div w:id="703166517">
      <w:bodyDiv w:val="1"/>
      <w:marLeft w:val="0"/>
      <w:marRight w:val="0"/>
      <w:marTop w:val="0"/>
      <w:marBottom w:val="0"/>
      <w:divBdr>
        <w:top w:val="none" w:sz="0" w:space="0" w:color="auto"/>
        <w:left w:val="none" w:sz="0" w:space="0" w:color="auto"/>
        <w:bottom w:val="none" w:sz="0" w:space="0" w:color="auto"/>
        <w:right w:val="none" w:sz="0" w:space="0" w:color="auto"/>
      </w:divBdr>
    </w:div>
    <w:div w:id="704910630">
      <w:bodyDiv w:val="1"/>
      <w:marLeft w:val="0"/>
      <w:marRight w:val="0"/>
      <w:marTop w:val="0"/>
      <w:marBottom w:val="0"/>
      <w:divBdr>
        <w:top w:val="none" w:sz="0" w:space="0" w:color="auto"/>
        <w:left w:val="none" w:sz="0" w:space="0" w:color="auto"/>
        <w:bottom w:val="none" w:sz="0" w:space="0" w:color="auto"/>
        <w:right w:val="none" w:sz="0" w:space="0" w:color="auto"/>
      </w:divBdr>
    </w:div>
    <w:div w:id="820997467">
      <w:bodyDiv w:val="1"/>
      <w:marLeft w:val="0"/>
      <w:marRight w:val="0"/>
      <w:marTop w:val="0"/>
      <w:marBottom w:val="0"/>
      <w:divBdr>
        <w:top w:val="none" w:sz="0" w:space="0" w:color="auto"/>
        <w:left w:val="none" w:sz="0" w:space="0" w:color="auto"/>
        <w:bottom w:val="none" w:sz="0" w:space="0" w:color="auto"/>
        <w:right w:val="none" w:sz="0" w:space="0" w:color="auto"/>
      </w:divBdr>
    </w:div>
    <w:div w:id="836386360">
      <w:bodyDiv w:val="1"/>
      <w:marLeft w:val="0"/>
      <w:marRight w:val="0"/>
      <w:marTop w:val="0"/>
      <w:marBottom w:val="0"/>
      <w:divBdr>
        <w:top w:val="none" w:sz="0" w:space="0" w:color="auto"/>
        <w:left w:val="none" w:sz="0" w:space="0" w:color="auto"/>
        <w:bottom w:val="none" w:sz="0" w:space="0" w:color="auto"/>
        <w:right w:val="none" w:sz="0" w:space="0" w:color="auto"/>
      </w:divBdr>
    </w:div>
    <w:div w:id="844126520">
      <w:bodyDiv w:val="1"/>
      <w:marLeft w:val="0"/>
      <w:marRight w:val="0"/>
      <w:marTop w:val="0"/>
      <w:marBottom w:val="0"/>
      <w:divBdr>
        <w:top w:val="none" w:sz="0" w:space="0" w:color="auto"/>
        <w:left w:val="none" w:sz="0" w:space="0" w:color="auto"/>
        <w:bottom w:val="none" w:sz="0" w:space="0" w:color="auto"/>
        <w:right w:val="none" w:sz="0" w:space="0" w:color="auto"/>
      </w:divBdr>
    </w:div>
    <w:div w:id="858815360">
      <w:bodyDiv w:val="1"/>
      <w:marLeft w:val="0"/>
      <w:marRight w:val="0"/>
      <w:marTop w:val="0"/>
      <w:marBottom w:val="0"/>
      <w:divBdr>
        <w:top w:val="none" w:sz="0" w:space="0" w:color="auto"/>
        <w:left w:val="none" w:sz="0" w:space="0" w:color="auto"/>
        <w:bottom w:val="none" w:sz="0" w:space="0" w:color="auto"/>
        <w:right w:val="none" w:sz="0" w:space="0" w:color="auto"/>
      </w:divBdr>
    </w:div>
    <w:div w:id="945044427">
      <w:bodyDiv w:val="1"/>
      <w:marLeft w:val="0"/>
      <w:marRight w:val="0"/>
      <w:marTop w:val="0"/>
      <w:marBottom w:val="0"/>
      <w:divBdr>
        <w:top w:val="none" w:sz="0" w:space="0" w:color="auto"/>
        <w:left w:val="none" w:sz="0" w:space="0" w:color="auto"/>
        <w:bottom w:val="none" w:sz="0" w:space="0" w:color="auto"/>
        <w:right w:val="none" w:sz="0" w:space="0" w:color="auto"/>
      </w:divBdr>
    </w:div>
    <w:div w:id="957642603">
      <w:bodyDiv w:val="1"/>
      <w:marLeft w:val="0"/>
      <w:marRight w:val="0"/>
      <w:marTop w:val="0"/>
      <w:marBottom w:val="0"/>
      <w:divBdr>
        <w:top w:val="none" w:sz="0" w:space="0" w:color="auto"/>
        <w:left w:val="none" w:sz="0" w:space="0" w:color="auto"/>
        <w:bottom w:val="none" w:sz="0" w:space="0" w:color="auto"/>
        <w:right w:val="none" w:sz="0" w:space="0" w:color="auto"/>
      </w:divBdr>
    </w:div>
    <w:div w:id="1007369098">
      <w:bodyDiv w:val="1"/>
      <w:marLeft w:val="0"/>
      <w:marRight w:val="0"/>
      <w:marTop w:val="0"/>
      <w:marBottom w:val="0"/>
      <w:divBdr>
        <w:top w:val="none" w:sz="0" w:space="0" w:color="auto"/>
        <w:left w:val="none" w:sz="0" w:space="0" w:color="auto"/>
        <w:bottom w:val="none" w:sz="0" w:space="0" w:color="auto"/>
        <w:right w:val="none" w:sz="0" w:space="0" w:color="auto"/>
      </w:divBdr>
    </w:div>
    <w:div w:id="1072653829">
      <w:bodyDiv w:val="1"/>
      <w:marLeft w:val="0"/>
      <w:marRight w:val="0"/>
      <w:marTop w:val="0"/>
      <w:marBottom w:val="0"/>
      <w:divBdr>
        <w:top w:val="none" w:sz="0" w:space="0" w:color="auto"/>
        <w:left w:val="none" w:sz="0" w:space="0" w:color="auto"/>
        <w:bottom w:val="none" w:sz="0" w:space="0" w:color="auto"/>
        <w:right w:val="none" w:sz="0" w:space="0" w:color="auto"/>
      </w:divBdr>
    </w:div>
    <w:div w:id="1130123864">
      <w:bodyDiv w:val="1"/>
      <w:marLeft w:val="0"/>
      <w:marRight w:val="0"/>
      <w:marTop w:val="0"/>
      <w:marBottom w:val="0"/>
      <w:divBdr>
        <w:top w:val="none" w:sz="0" w:space="0" w:color="auto"/>
        <w:left w:val="none" w:sz="0" w:space="0" w:color="auto"/>
        <w:bottom w:val="none" w:sz="0" w:space="0" w:color="auto"/>
        <w:right w:val="none" w:sz="0" w:space="0" w:color="auto"/>
      </w:divBdr>
    </w:div>
    <w:div w:id="1226263742">
      <w:bodyDiv w:val="1"/>
      <w:marLeft w:val="0"/>
      <w:marRight w:val="0"/>
      <w:marTop w:val="0"/>
      <w:marBottom w:val="0"/>
      <w:divBdr>
        <w:top w:val="none" w:sz="0" w:space="0" w:color="auto"/>
        <w:left w:val="none" w:sz="0" w:space="0" w:color="auto"/>
        <w:bottom w:val="none" w:sz="0" w:space="0" w:color="auto"/>
        <w:right w:val="none" w:sz="0" w:space="0" w:color="auto"/>
      </w:divBdr>
    </w:div>
    <w:div w:id="1269969190">
      <w:bodyDiv w:val="1"/>
      <w:marLeft w:val="0"/>
      <w:marRight w:val="0"/>
      <w:marTop w:val="0"/>
      <w:marBottom w:val="0"/>
      <w:divBdr>
        <w:top w:val="none" w:sz="0" w:space="0" w:color="auto"/>
        <w:left w:val="none" w:sz="0" w:space="0" w:color="auto"/>
        <w:bottom w:val="none" w:sz="0" w:space="0" w:color="auto"/>
        <w:right w:val="none" w:sz="0" w:space="0" w:color="auto"/>
      </w:divBdr>
    </w:div>
    <w:div w:id="1469783601">
      <w:bodyDiv w:val="1"/>
      <w:marLeft w:val="0"/>
      <w:marRight w:val="0"/>
      <w:marTop w:val="0"/>
      <w:marBottom w:val="0"/>
      <w:divBdr>
        <w:top w:val="none" w:sz="0" w:space="0" w:color="auto"/>
        <w:left w:val="none" w:sz="0" w:space="0" w:color="auto"/>
        <w:bottom w:val="none" w:sz="0" w:space="0" w:color="auto"/>
        <w:right w:val="none" w:sz="0" w:space="0" w:color="auto"/>
      </w:divBdr>
    </w:div>
    <w:div w:id="1548948499">
      <w:bodyDiv w:val="1"/>
      <w:marLeft w:val="0"/>
      <w:marRight w:val="0"/>
      <w:marTop w:val="0"/>
      <w:marBottom w:val="0"/>
      <w:divBdr>
        <w:top w:val="none" w:sz="0" w:space="0" w:color="auto"/>
        <w:left w:val="none" w:sz="0" w:space="0" w:color="auto"/>
        <w:bottom w:val="none" w:sz="0" w:space="0" w:color="auto"/>
        <w:right w:val="none" w:sz="0" w:space="0" w:color="auto"/>
      </w:divBdr>
    </w:div>
    <w:div w:id="1553734363">
      <w:bodyDiv w:val="1"/>
      <w:marLeft w:val="0"/>
      <w:marRight w:val="0"/>
      <w:marTop w:val="0"/>
      <w:marBottom w:val="0"/>
      <w:divBdr>
        <w:top w:val="none" w:sz="0" w:space="0" w:color="auto"/>
        <w:left w:val="none" w:sz="0" w:space="0" w:color="auto"/>
        <w:bottom w:val="none" w:sz="0" w:space="0" w:color="auto"/>
        <w:right w:val="none" w:sz="0" w:space="0" w:color="auto"/>
      </w:divBdr>
    </w:div>
    <w:div w:id="1633486908">
      <w:bodyDiv w:val="1"/>
      <w:marLeft w:val="0"/>
      <w:marRight w:val="0"/>
      <w:marTop w:val="0"/>
      <w:marBottom w:val="0"/>
      <w:divBdr>
        <w:top w:val="none" w:sz="0" w:space="0" w:color="auto"/>
        <w:left w:val="none" w:sz="0" w:space="0" w:color="auto"/>
        <w:bottom w:val="none" w:sz="0" w:space="0" w:color="auto"/>
        <w:right w:val="none" w:sz="0" w:space="0" w:color="auto"/>
      </w:divBdr>
    </w:div>
    <w:div w:id="21079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nd/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2B51B.F02D97F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71B2-7055-4BDA-B7CD-851483D1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to Regional Excellence Project TAACCCT Evaluation</dc:title>
  <dc:subject>Final Report: Executive Summary</dc:subject>
  <dc:creator>Renee Edwards</dc:creator>
  <cp:keywords>project purpose evaluation summary implementation findings impacts outcomes conclusions research</cp:keywords>
  <dc:description/>
  <cp:lastModifiedBy>Julie</cp:lastModifiedBy>
  <cp:revision>6</cp:revision>
  <dcterms:created xsi:type="dcterms:W3CDTF">2018-09-27T16:42:00Z</dcterms:created>
  <dcterms:modified xsi:type="dcterms:W3CDTF">2018-09-27T17:18:00Z</dcterms:modified>
</cp:coreProperties>
</file>