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553D" w14:textId="0D0932B0" w:rsidR="00FA3675" w:rsidRDefault="00FA3675" w:rsidP="00FA3675">
      <w:pPr>
        <w:jc w:val="both"/>
        <w:rPr>
          <w:rFonts w:ascii="Cambria" w:hAnsi="Cambria"/>
          <w:sz w:val="21"/>
          <w:szCs w:val="21"/>
        </w:rPr>
      </w:pPr>
      <w:bookmarkStart w:id="0" w:name="_GoBack"/>
      <w:bookmarkEnd w:id="0"/>
      <w:r>
        <w:rPr>
          <w:rFonts w:ascii="Cambria" w:hAnsi="Cambria"/>
          <w:sz w:val="21"/>
          <w:szCs w:val="21"/>
        </w:rPr>
        <w:t>2.03</w:t>
      </w:r>
      <w:r>
        <w:rPr>
          <w:rFonts w:ascii="Cambria" w:hAnsi="Cambria"/>
          <w:sz w:val="21"/>
          <w:szCs w:val="21"/>
        </w:rPr>
        <w:tab/>
        <w:t>Position Guide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 xml:space="preserve">                10/30/14</w:t>
      </w:r>
    </w:p>
    <w:p w14:paraId="78592C2C" w14:textId="0E091221" w:rsidR="00FA3675" w:rsidRDefault="00FA3675" w:rsidP="00FA3675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 xml:space="preserve">              Revised:    3/27/15</w:t>
      </w:r>
    </w:p>
    <w:p w14:paraId="29DD1FF4" w14:textId="77777777" w:rsidR="00FA3675" w:rsidRPr="00FA3675" w:rsidRDefault="00FA3675" w:rsidP="00FA3675">
      <w:pPr>
        <w:ind w:left="720"/>
        <w:jc w:val="both"/>
        <w:rPr>
          <w:rFonts w:ascii="Cambria" w:hAnsi="Cambria"/>
          <w:sz w:val="21"/>
          <w:szCs w:val="21"/>
        </w:rPr>
      </w:pPr>
    </w:p>
    <w:p w14:paraId="6B657563" w14:textId="77777777" w:rsidR="000C54D5" w:rsidRPr="00FA3675" w:rsidRDefault="00FF2411" w:rsidP="00FA3675">
      <w:pPr>
        <w:ind w:left="720"/>
        <w:jc w:val="both"/>
        <w:rPr>
          <w:rFonts w:ascii="Cambria" w:hAnsi="Cambria"/>
          <w:b/>
          <w:sz w:val="21"/>
          <w:szCs w:val="21"/>
          <w:u w:val="single"/>
        </w:rPr>
      </w:pPr>
      <w:r w:rsidRPr="00FA3675">
        <w:rPr>
          <w:rFonts w:ascii="Cambria" w:hAnsi="Cambria"/>
          <w:b/>
          <w:sz w:val="21"/>
          <w:szCs w:val="21"/>
          <w:u w:val="single"/>
        </w:rPr>
        <w:t>EXECUTIVE DIRECTOR</w:t>
      </w:r>
      <w:r w:rsidR="005B194B" w:rsidRPr="00FA3675">
        <w:rPr>
          <w:rFonts w:ascii="Cambria" w:hAnsi="Cambria"/>
          <w:b/>
          <w:sz w:val="21"/>
          <w:szCs w:val="21"/>
          <w:u w:val="single"/>
        </w:rPr>
        <w:t xml:space="preserve">, TAACCCT #4, </w:t>
      </w:r>
      <w:r w:rsidR="00EA1BE1" w:rsidRPr="00FA3675">
        <w:rPr>
          <w:rFonts w:ascii="Cambria" w:hAnsi="Cambria"/>
          <w:b/>
          <w:sz w:val="21"/>
          <w:szCs w:val="21"/>
          <w:u w:val="single"/>
        </w:rPr>
        <w:t>Northea</w:t>
      </w:r>
      <w:r w:rsidR="003D1146" w:rsidRPr="00FA3675">
        <w:rPr>
          <w:rFonts w:ascii="Cambria" w:hAnsi="Cambria"/>
          <w:b/>
          <w:sz w:val="21"/>
          <w:szCs w:val="21"/>
          <w:u w:val="single"/>
        </w:rPr>
        <w:t xml:space="preserve">st PA Community </w:t>
      </w:r>
      <w:r w:rsidR="00EA1BE1" w:rsidRPr="00FA3675">
        <w:rPr>
          <w:rFonts w:ascii="Cambria" w:hAnsi="Cambria"/>
          <w:b/>
          <w:sz w:val="21"/>
          <w:szCs w:val="21"/>
          <w:u w:val="single"/>
        </w:rPr>
        <w:t xml:space="preserve">College Consortium </w:t>
      </w:r>
    </w:p>
    <w:p w14:paraId="62539529" w14:textId="271D0BB6" w:rsidR="0028395F" w:rsidRPr="00FA3675" w:rsidRDefault="0028395F" w:rsidP="00FA3675">
      <w:pPr>
        <w:ind w:left="720"/>
        <w:jc w:val="both"/>
        <w:rPr>
          <w:rFonts w:ascii="Cambria" w:hAnsi="Cambria"/>
          <w:i/>
          <w:sz w:val="21"/>
          <w:szCs w:val="21"/>
          <w:u w:val="single"/>
        </w:rPr>
      </w:pPr>
      <w:r w:rsidRPr="00FA3675">
        <w:rPr>
          <w:rFonts w:ascii="Cambria" w:hAnsi="Cambria"/>
          <w:i/>
          <w:sz w:val="21"/>
          <w:szCs w:val="21"/>
        </w:rPr>
        <w:t xml:space="preserve">(Grant funded through </w:t>
      </w:r>
      <w:r w:rsidR="00C20688" w:rsidRPr="00FA3675">
        <w:rPr>
          <w:rFonts w:ascii="Cambria" w:hAnsi="Cambria"/>
          <w:i/>
          <w:sz w:val="21"/>
          <w:szCs w:val="21"/>
        </w:rPr>
        <w:t>09/30/18</w:t>
      </w:r>
      <w:r w:rsidRPr="00FA3675">
        <w:rPr>
          <w:rFonts w:ascii="Cambria" w:hAnsi="Cambria"/>
          <w:i/>
          <w:sz w:val="21"/>
          <w:szCs w:val="21"/>
        </w:rPr>
        <w:t>)</w:t>
      </w:r>
      <w:r w:rsidRPr="00FA3675">
        <w:rPr>
          <w:rFonts w:ascii="Cambria" w:hAnsi="Cambria"/>
          <w:i/>
          <w:sz w:val="21"/>
          <w:szCs w:val="21"/>
        </w:rPr>
        <w:tab/>
      </w:r>
    </w:p>
    <w:p w14:paraId="2E554F61" w14:textId="77777777" w:rsidR="008F0FF3" w:rsidRPr="00FA3675" w:rsidRDefault="000C54D5" w:rsidP="00FA3675">
      <w:pPr>
        <w:ind w:left="720"/>
        <w:jc w:val="both"/>
        <w:rPr>
          <w:rFonts w:ascii="Cambria" w:hAnsi="Cambria"/>
          <w:sz w:val="21"/>
          <w:szCs w:val="21"/>
        </w:rPr>
      </w:pPr>
      <w:r w:rsidRPr="00FA3675">
        <w:rPr>
          <w:rFonts w:ascii="Cambria" w:hAnsi="Cambria"/>
          <w:sz w:val="21"/>
          <w:szCs w:val="21"/>
        </w:rPr>
        <w:tab/>
      </w:r>
      <w:r w:rsidR="008643D4" w:rsidRPr="00FA3675">
        <w:rPr>
          <w:rFonts w:ascii="Cambria" w:hAnsi="Cambria"/>
          <w:sz w:val="21"/>
          <w:szCs w:val="21"/>
        </w:rPr>
        <w:tab/>
      </w:r>
      <w:r w:rsidR="008643D4" w:rsidRPr="00FA3675">
        <w:rPr>
          <w:rFonts w:ascii="Cambria" w:hAnsi="Cambria"/>
          <w:sz w:val="21"/>
          <w:szCs w:val="21"/>
        </w:rPr>
        <w:tab/>
      </w:r>
      <w:r w:rsidR="008643D4" w:rsidRPr="00FA3675">
        <w:rPr>
          <w:rFonts w:ascii="Cambria" w:hAnsi="Cambria"/>
          <w:sz w:val="21"/>
          <w:szCs w:val="21"/>
        </w:rPr>
        <w:tab/>
      </w:r>
    </w:p>
    <w:p w14:paraId="19D2F75C" w14:textId="6F3E496B" w:rsidR="000C54D5" w:rsidRPr="00FA3675" w:rsidRDefault="008643D4" w:rsidP="00FA3675">
      <w:pPr>
        <w:ind w:left="720"/>
        <w:jc w:val="both"/>
        <w:rPr>
          <w:rFonts w:ascii="Cambria" w:hAnsi="Cambria"/>
          <w:color w:val="00B0F0"/>
          <w:sz w:val="21"/>
          <w:szCs w:val="21"/>
          <w:u w:val="single"/>
        </w:rPr>
      </w:pPr>
      <w:r w:rsidRPr="00FA3675">
        <w:rPr>
          <w:rFonts w:ascii="Cambria" w:hAnsi="Cambria"/>
          <w:b/>
          <w:color w:val="000000"/>
          <w:sz w:val="21"/>
          <w:szCs w:val="21"/>
          <w:u w:val="single"/>
        </w:rPr>
        <w:t>Primary Function</w:t>
      </w:r>
      <w:r w:rsidRPr="00FA3675">
        <w:rPr>
          <w:rFonts w:ascii="Cambria" w:hAnsi="Cambria"/>
          <w:color w:val="000000"/>
          <w:sz w:val="21"/>
          <w:szCs w:val="21"/>
          <w:u w:val="single"/>
        </w:rPr>
        <w:t>:</w:t>
      </w:r>
      <w:r w:rsidR="00A826D1" w:rsidRPr="00FA3675">
        <w:rPr>
          <w:rFonts w:ascii="Cambria" w:hAnsi="Cambria"/>
          <w:sz w:val="21"/>
          <w:szCs w:val="21"/>
        </w:rPr>
        <w:t xml:space="preserve"> </w:t>
      </w:r>
      <w:r w:rsidR="00EA1BE1" w:rsidRPr="00FA3675">
        <w:rPr>
          <w:rFonts w:ascii="Cambria" w:hAnsi="Cambria"/>
          <w:sz w:val="21"/>
          <w:szCs w:val="21"/>
        </w:rPr>
        <w:t xml:space="preserve">Provides Consortium-wide </w:t>
      </w:r>
      <w:r w:rsidR="00AF2F92" w:rsidRPr="00FA3675">
        <w:rPr>
          <w:rFonts w:ascii="Cambria" w:hAnsi="Cambria"/>
          <w:sz w:val="21"/>
          <w:szCs w:val="21"/>
        </w:rPr>
        <w:t>programmatic and fiscal leadership, coo</w:t>
      </w:r>
      <w:r w:rsidR="00EA1BE1" w:rsidRPr="00FA3675">
        <w:rPr>
          <w:rFonts w:ascii="Cambria" w:hAnsi="Cambria"/>
          <w:sz w:val="21"/>
          <w:szCs w:val="21"/>
        </w:rPr>
        <w:t xml:space="preserve">rdination, </w:t>
      </w:r>
      <w:r w:rsidR="0082293A" w:rsidRPr="00FA3675">
        <w:rPr>
          <w:rFonts w:ascii="Cambria" w:hAnsi="Cambria"/>
          <w:sz w:val="21"/>
          <w:szCs w:val="21"/>
        </w:rPr>
        <w:t xml:space="preserve"> and </w:t>
      </w:r>
      <w:r w:rsidR="00EA1BE1" w:rsidRPr="00FA3675">
        <w:rPr>
          <w:rFonts w:ascii="Cambria" w:hAnsi="Cambria"/>
          <w:sz w:val="21"/>
          <w:szCs w:val="21"/>
        </w:rPr>
        <w:t xml:space="preserve">direction </w:t>
      </w:r>
      <w:r w:rsidR="00337740" w:rsidRPr="00FA3675">
        <w:rPr>
          <w:rFonts w:ascii="Cambria" w:hAnsi="Cambria"/>
          <w:sz w:val="21"/>
          <w:szCs w:val="21"/>
        </w:rPr>
        <w:t xml:space="preserve">across three community college partners including Northampton Community College, Lehigh Carbon Community College and Luzerne County Community College </w:t>
      </w:r>
      <w:r w:rsidR="00584059" w:rsidRPr="00FA3675">
        <w:rPr>
          <w:rFonts w:ascii="Cambria" w:hAnsi="Cambria"/>
          <w:sz w:val="21"/>
          <w:szCs w:val="21"/>
        </w:rPr>
        <w:t>for the TAACCCT #4</w:t>
      </w:r>
      <w:r w:rsidR="00AF2F92" w:rsidRPr="00FA3675">
        <w:rPr>
          <w:rFonts w:ascii="Cambria" w:hAnsi="Cambria"/>
          <w:sz w:val="21"/>
          <w:szCs w:val="21"/>
        </w:rPr>
        <w:t xml:space="preserve"> </w:t>
      </w:r>
      <w:r w:rsidR="00EA1BE1" w:rsidRPr="00FA3675">
        <w:rPr>
          <w:rFonts w:ascii="Cambria" w:hAnsi="Cambria"/>
          <w:sz w:val="21"/>
          <w:szCs w:val="21"/>
        </w:rPr>
        <w:t xml:space="preserve">US Department of Labor (DOL) </w:t>
      </w:r>
      <w:r w:rsidR="00AF2F92" w:rsidRPr="00FA3675">
        <w:rPr>
          <w:rFonts w:ascii="Cambria" w:hAnsi="Cambria"/>
          <w:sz w:val="21"/>
          <w:szCs w:val="21"/>
        </w:rPr>
        <w:t>gran</w:t>
      </w:r>
      <w:r w:rsidR="00673FB9" w:rsidRPr="00FA3675">
        <w:rPr>
          <w:rFonts w:ascii="Cambria" w:hAnsi="Cambria"/>
          <w:sz w:val="21"/>
          <w:szCs w:val="21"/>
        </w:rPr>
        <w:t>t funded initiative</w:t>
      </w:r>
      <w:r w:rsidR="00337740" w:rsidRPr="00FA3675">
        <w:rPr>
          <w:rFonts w:ascii="Cambria" w:hAnsi="Cambria"/>
          <w:sz w:val="21"/>
          <w:szCs w:val="21"/>
        </w:rPr>
        <w:t>.</w:t>
      </w:r>
    </w:p>
    <w:p w14:paraId="4D6843F6" w14:textId="77777777" w:rsidR="000C54D5" w:rsidRPr="00FA3675" w:rsidRDefault="000C54D5" w:rsidP="00FA3675">
      <w:pPr>
        <w:ind w:left="720"/>
        <w:jc w:val="both"/>
        <w:rPr>
          <w:rFonts w:ascii="Cambria" w:hAnsi="Cambria"/>
          <w:color w:val="00B0F0"/>
          <w:sz w:val="21"/>
          <w:szCs w:val="21"/>
        </w:rPr>
      </w:pPr>
    </w:p>
    <w:p w14:paraId="34040F68" w14:textId="667A6A94" w:rsidR="00713BBF" w:rsidRPr="00FA3675" w:rsidRDefault="008643D4" w:rsidP="00FA3675">
      <w:pPr>
        <w:ind w:left="720"/>
        <w:jc w:val="both"/>
        <w:rPr>
          <w:rFonts w:ascii="Cambria" w:hAnsi="Cambria"/>
          <w:sz w:val="21"/>
          <w:szCs w:val="21"/>
        </w:rPr>
      </w:pPr>
      <w:r w:rsidRPr="00FA3675">
        <w:rPr>
          <w:rFonts w:ascii="Cambria" w:hAnsi="Cambria"/>
          <w:b/>
          <w:sz w:val="21"/>
          <w:szCs w:val="21"/>
          <w:u w:val="single"/>
        </w:rPr>
        <w:t>Responsibilities:</w:t>
      </w:r>
      <w:r w:rsidRPr="00FA3675">
        <w:rPr>
          <w:rFonts w:ascii="Cambria" w:hAnsi="Cambria"/>
          <w:color w:val="00B0F0"/>
          <w:sz w:val="21"/>
          <w:szCs w:val="21"/>
        </w:rPr>
        <w:t xml:space="preserve">  </w:t>
      </w:r>
      <w:r w:rsidR="005B194B" w:rsidRPr="00FA3675">
        <w:rPr>
          <w:rFonts w:ascii="Cambria" w:hAnsi="Cambria"/>
          <w:sz w:val="21"/>
          <w:szCs w:val="21"/>
        </w:rPr>
        <w:t>The Executive Director will:</w:t>
      </w:r>
      <w:r w:rsidR="003527B5" w:rsidRPr="00FA3675">
        <w:rPr>
          <w:rFonts w:ascii="Cambria" w:hAnsi="Cambria"/>
          <w:sz w:val="21"/>
          <w:szCs w:val="21"/>
        </w:rPr>
        <w:t xml:space="preserve"> (1) </w:t>
      </w:r>
      <w:r w:rsidR="00D96E9B" w:rsidRPr="00FA3675">
        <w:rPr>
          <w:rFonts w:ascii="Cambria" w:hAnsi="Cambria"/>
          <w:sz w:val="21"/>
          <w:szCs w:val="21"/>
        </w:rPr>
        <w:t xml:space="preserve">Provide leadership, guidance, direction, and support to partner colleges; (2) Develop and maintain effective relationships with consortium schools’ leadership and project teams, funding agency, state and local workforce agencies, employer partners, and industry representatives; (3) Recruit, hire, and retain </w:t>
      </w:r>
      <w:r w:rsidR="00EA1BE1" w:rsidRPr="00FA3675">
        <w:rPr>
          <w:rFonts w:ascii="Cambria" w:hAnsi="Cambria"/>
          <w:sz w:val="21"/>
          <w:szCs w:val="21"/>
        </w:rPr>
        <w:t xml:space="preserve">consortium level </w:t>
      </w:r>
      <w:r w:rsidR="00445847" w:rsidRPr="00FA3675">
        <w:rPr>
          <w:rFonts w:ascii="Cambria" w:hAnsi="Cambria"/>
          <w:sz w:val="21"/>
          <w:szCs w:val="21"/>
        </w:rPr>
        <w:t>staffing</w:t>
      </w:r>
      <w:r w:rsidR="00D96E9B" w:rsidRPr="00FA3675">
        <w:rPr>
          <w:rFonts w:ascii="Cambria" w:hAnsi="Cambria"/>
          <w:sz w:val="21"/>
          <w:szCs w:val="21"/>
        </w:rPr>
        <w:t>; (4) Evaluate progress of the project, address potential issues</w:t>
      </w:r>
      <w:r w:rsidR="004F0009" w:rsidRPr="00FA3675">
        <w:rPr>
          <w:rFonts w:ascii="Cambria" w:hAnsi="Cambria"/>
          <w:sz w:val="21"/>
          <w:szCs w:val="21"/>
        </w:rPr>
        <w:t>, and</w:t>
      </w:r>
      <w:r w:rsidR="00D96E9B" w:rsidRPr="00FA3675">
        <w:rPr>
          <w:rFonts w:ascii="Cambria" w:hAnsi="Cambria"/>
          <w:sz w:val="21"/>
          <w:szCs w:val="21"/>
        </w:rPr>
        <w:t xml:space="preserve"> be able to clearly articulate progress regularly to partners, stakeholders, and others.  </w:t>
      </w:r>
      <w:r w:rsidR="004F0009" w:rsidRPr="00FA3675">
        <w:rPr>
          <w:rFonts w:ascii="Cambria" w:hAnsi="Cambria"/>
          <w:sz w:val="21"/>
          <w:szCs w:val="21"/>
        </w:rPr>
        <w:t>(5</w:t>
      </w:r>
      <w:r w:rsidR="003527B5" w:rsidRPr="00FA3675">
        <w:rPr>
          <w:rFonts w:ascii="Cambria" w:hAnsi="Cambria"/>
          <w:sz w:val="21"/>
          <w:szCs w:val="21"/>
        </w:rPr>
        <w:t xml:space="preserve">) </w:t>
      </w:r>
      <w:r w:rsidR="00445847" w:rsidRPr="00FA3675">
        <w:rPr>
          <w:rFonts w:ascii="Cambria" w:hAnsi="Cambria"/>
          <w:sz w:val="21"/>
          <w:szCs w:val="21"/>
        </w:rPr>
        <w:t>Ensure that grant</w:t>
      </w:r>
      <w:r w:rsidR="0043289E" w:rsidRPr="00FA3675">
        <w:rPr>
          <w:rFonts w:ascii="Cambria" w:hAnsi="Cambria"/>
          <w:sz w:val="21"/>
          <w:szCs w:val="21"/>
        </w:rPr>
        <w:t xml:space="preserve"> activities </w:t>
      </w:r>
      <w:r w:rsidR="00E936BB" w:rsidRPr="00FA3675">
        <w:rPr>
          <w:rFonts w:ascii="Cambria" w:hAnsi="Cambria"/>
          <w:sz w:val="21"/>
          <w:szCs w:val="21"/>
        </w:rPr>
        <w:t xml:space="preserve">and financing/accounting </w:t>
      </w:r>
      <w:r w:rsidR="0043289E" w:rsidRPr="00FA3675">
        <w:rPr>
          <w:rFonts w:ascii="Cambria" w:hAnsi="Cambria"/>
          <w:sz w:val="21"/>
          <w:szCs w:val="21"/>
        </w:rPr>
        <w:t>are in compliance with the grant</w:t>
      </w:r>
      <w:r w:rsidR="004F0009" w:rsidRPr="00FA3675">
        <w:rPr>
          <w:rFonts w:ascii="Cambria" w:hAnsi="Cambria"/>
          <w:sz w:val="21"/>
          <w:szCs w:val="21"/>
        </w:rPr>
        <w:t>; (6</w:t>
      </w:r>
      <w:r w:rsidR="003527B5" w:rsidRPr="00FA3675">
        <w:rPr>
          <w:rFonts w:ascii="Cambria" w:hAnsi="Cambria"/>
          <w:sz w:val="21"/>
          <w:szCs w:val="21"/>
        </w:rPr>
        <w:t xml:space="preserve">) </w:t>
      </w:r>
      <w:r w:rsidR="00E936BB" w:rsidRPr="00FA3675">
        <w:rPr>
          <w:rFonts w:ascii="Cambria" w:hAnsi="Cambria"/>
          <w:sz w:val="21"/>
          <w:szCs w:val="21"/>
        </w:rPr>
        <w:t>Be responsible for capital and operating budget</w:t>
      </w:r>
      <w:r w:rsidR="004F0009" w:rsidRPr="00FA3675">
        <w:rPr>
          <w:rFonts w:ascii="Cambria" w:hAnsi="Cambria"/>
          <w:sz w:val="21"/>
          <w:szCs w:val="21"/>
        </w:rPr>
        <w:t>s, requisitions and expenses; (7)</w:t>
      </w:r>
      <w:r w:rsidR="003527B5" w:rsidRPr="00FA3675">
        <w:rPr>
          <w:rFonts w:ascii="Cambria" w:hAnsi="Cambria"/>
          <w:sz w:val="21"/>
          <w:szCs w:val="21"/>
        </w:rPr>
        <w:t xml:space="preserve"> </w:t>
      </w:r>
      <w:r w:rsidR="00DE1BCE" w:rsidRPr="00FA3675">
        <w:rPr>
          <w:rFonts w:ascii="Cambria" w:hAnsi="Cambria"/>
          <w:sz w:val="21"/>
          <w:szCs w:val="21"/>
        </w:rPr>
        <w:t xml:space="preserve">Convene the </w:t>
      </w:r>
      <w:r w:rsidR="00337740" w:rsidRPr="00FA3675">
        <w:rPr>
          <w:rFonts w:ascii="Cambria" w:hAnsi="Cambria"/>
          <w:sz w:val="21"/>
          <w:szCs w:val="21"/>
        </w:rPr>
        <w:t>C</w:t>
      </w:r>
      <w:r w:rsidR="00DE1BCE" w:rsidRPr="00FA3675">
        <w:rPr>
          <w:rFonts w:ascii="Cambria" w:hAnsi="Cambria"/>
          <w:sz w:val="21"/>
          <w:szCs w:val="21"/>
        </w:rPr>
        <w:t>onsortium</w:t>
      </w:r>
      <w:r w:rsidR="00337740" w:rsidRPr="00FA3675">
        <w:rPr>
          <w:rFonts w:ascii="Cambria" w:hAnsi="Cambria"/>
          <w:sz w:val="21"/>
          <w:szCs w:val="21"/>
        </w:rPr>
        <w:t>-</w:t>
      </w:r>
      <w:r w:rsidR="00DE1BCE" w:rsidRPr="00FA3675">
        <w:rPr>
          <w:rFonts w:ascii="Cambria" w:hAnsi="Cambria"/>
          <w:sz w:val="21"/>
          <w:szCs w:val="21"/>
        </w:rPr>
        <w:t xml:space="preserve">wide Leadership Team quarterly submitting timely updates on progress toward performance objectives and other </w:t>
      </w:r>
      <w:r w:rsidR="00EA1BE1" w:rsidRPr="00FA3675">
        <w:rPr>
          <w:rFonts w:ascii="Cambria" w:hAnsi="Cambria"/>
          <w:sz w:val="21"/>
          <w:szCs w:val="21"/>
        </w:rPr>
        <w:t>evaluation results;</w:t>
      </w:r>
      <w:r w:rsidR="004F0009" w:rsidRPr="00FA3675">
        <w:rPr>
          <w:rFonts w:ascii="Cambria" w:hAnsi="Cambria"/>
          <w:sz w:val="21"/>
          <w:szCs w:val="21"/>
        </w:rPr>
        <w:t xml:space="preserve"> (8</w:t>
      </w:r>
      <w:r w:rsidR="00E936BB" w:rsidRPr="00FA3675">
        <w:rPr>
          <w:rFonts w:ascii="Cambria" w:hAnsi="Cambria"/>
          <w:sz w:val="21"/>
          <w:szCs w:val="21"/>
        </w:rPr>
        <w:t xml:space="preserve">) </w:t>
      </w:r>
      <w:r w:rsidR="003560E6" w:rsidRPr="00FA3675">
        <w:rPr>
          <w:rFonts w:ascii="Cambria" w:hAnsi="Cambria"/>
          <w:sz w:val="21"/>
          <w:szCs w:val="21"/>
        </w:rPr>
        <w:t xml:space="preserve">implement special responsibilities as assigned. </w:t>
      </w:r>
    </w:p>
    <w:p w14:paraId="1ACFD6DC" w14:textId="77777777" w:rsidR="00114F59" w:rsidRPr="00FA3675" w:rsidRDefault="00114F59" w:rsidP="00FA3675">
      <w:pPr>
        <w:ind w:left="1440"/>
        <w:jc w:val="both"/>
        <w:rPr>
          <w:rFonts w:ascii="Cambria" w:hAnsi="Cambria"/>
          <w:color w:val="00B0F0"/>
          <w:sz w:val="21"/>
          <w:szCs w:val="21"/>
        </w:rPr>
      </w:pPr>
    </w:p>
    <w:p w14:paraId="327273BD" w14:textId="77777777" w:rsidR="00A826D1" w:rsidRPr="00FA3675" w:rsidRDefault="00A826D1" w:rsidP="00FA3675">
      <w:pPr>
        <w:ind w:left="720"/>
        <w:jc w:val="both"/>
        <w:rPr>
          <w:rFonts w:ascii="Cambria" w:hAnsi="Cambria"/>
          <w:b/>
          <w:sz w:val="21"/>
          <w:szCs w:val="21"/>
          <w:u w:val="single"/>
        </w:rPr>
      </w:pPr>
      <w:r w:rsidRPr="00FA3675">
        <w:rPr>
          <w:rFonts w:ascii="Cambria" w:hAnsi="Cambria"/>
          <w:b/>
          <w:sz w:val="21"/>
          <w:szCs w:val="21"/>
          <w:u w:val="single"/>
        </w:rPr>
        <w:t>Organizational Relationships</w:t>
      </w:r>
      <w:r w:rsidRPr="00FA3675">
        <w:rPr>
          <w:rFonts w:ascii="Cambria" w:hAnsi="Cambria"/>
          <w:sz w:val="21"/>
          <w:szCs w:val="21"/>
          <w:u w:val="single"/>
        </w:rPr>
        <w:t>:</w:t>
      </w:r>
      <w:r w:rsidRPr="00FA3675">
        <w:rPr>
          <w:rFonts w:ascii="Cambria" w:hAnsi="Cambria"/>
          <w:b/>
          <w:sz w:val="21"/>
          <w:szCs w:val="21"/>
        </w:rPr>
        <w:t xml:space="preserve"> </w:t>
      </w:r>
      <w:r w:rsidR="00584059" w:rsidRPr="00FA3675">
        <w:rPr>
          <w:rFonts w:ascii="Cambria" w:hAnsi="Cambria"/>
          <w:b/>
          <w:sz w:val="21"/>
          <w:szCs w:val="21"/>
        </w:rPr>
        <w:t>(</w:t>
      </w:r>
      <w:r w:rsidRPr="00FA3675">
        <w:rPr>
          <w:rFonts w:ascii="Cambria" w:hAnsi="Cambria"/>
          <w:sz w:val="21"/>
          <w:szCs w:val="21"/>
        </w:rPr>
        <w:t>1)</w:t>
      </w:r>
      <w:r w:rsidR="00584059" w:rsidRPr="00FA3675">
        <w:rPr>
          <w:rFonts w:ascii="Cambria" w:hAnsi="Cambria"/>
          <w:sz w:val="21"/>
          <w:szCs w:val="21"/>
        </w:rPr>
        <w:t xml:space="preserve"> Report</w:t>
      </w:r>
      <w:r w:rsidR="00343CC4" w:rsidRPr="00FA3675">
        <w:rPr>
          <w:rFonts w:ascii="Cambria" w:hAnsi="Cambria"/>
          <w:sz w:val="21"/>
          <w:szCs w:val="21"/>
        </w:rPr>
        <w:t xml:space="preserve"> to the </w:t>
      </w:r>
      <w:r w:rsidR="00DE1BCE" w:rsidRPr="00FA3675">
        <w:rPr>
          <w:rFonts w:ascii="Cambria" w:hAnsi="Cambria"/>
          <w:sz w:val="21"/>
          <w:szCs w:val="21"/>
        </w:rPr>
        <w:t>President</w:t>
      </w:r>
      <w:r w:rsidR="00970BA0" w:rsidRPr="00FA3675">
        <w:rPr>
          <w:rFonts w:ascii="Cambria" w:hAnsi="Cambria"/>
          <w:sz w:val="21"/>
          <w:szCs w:val="21"/>
        </w:rPr>
        <w:t xml:space="preserve"> of Northampton Community </w:t>
      </w:r>
      <w:r w:rsidR="00EA1BE1" w:rsidRPr="00FA3675">
        <w:rPr>
          <w:rFonts w:ascii="Cambria" w:hAnsi="Cambria"/>
          <w:sz w:val="21"/>
          <w:szCs w:val="21"/>
        </w:rPr>
        <w:t>College</w:t>
      </w:r>
      <w:r w:rsidR="00343CC4" w:rsidRPr="00FA3675">
        <w:rPr>
          <w:rFonts w:ascii="Cambria" w:hAnsi="Cambria"/>
          <w:sz w:val="21"/>
          <w:szCs w:val="21"/>
        </w:rPr>
        <w:t xml:space="preserve">. </w:t>
      </w:r>
      <w:r w:rsidR="00970BA0" w:rsidRPr="00FA3675">
        <w:rPr>
          <w:rFonts w:ascii="Cambria" w:hAnsi="Cambria"/>
          <w:sz w:val="21"/>
          <w:szCs w:val="21"/>
        </w:rPr>
        <w:t>(</w:t>
      </w:r>
      <w:r w:rsidR="00343CC4" w:rsidRPr="00FA3675">
        <w:rPr>
          <w:rFonts w:ascii="Cambria" w:hAnsi="Cambria"/>
          <w:sz w:val="21"/>
          <w:szCs w:val="21"/>
        </w:rPr>
        <w:t>2) M</w:t>
      </w:r>
      <w:r w:rsidRPr="00FA3675">
        <w:rPr>
          <w:rFonts w:ascii="Cambria" w:hAnsi="Cambria"/>
          <w:sz w:val="21"/>
          <w:szCs w:val="21"/>
        </w:rPr>
        <w:t>aintain cooperative relationship</w:t>
      </w:r>
      <w:r w:rsidR="00416665" w:rsidRPr="00FA3675">
        <w:rPr>
          <w:rFonts w:ascii="Cambria" w:hAnsi="Cambria"/>
          <w:sz w:val="21"/>
          <w:szCs w:val="21"/>
        </w:rPr>
        <w:t>s</w:t>
      </w:r>
      <w:r w:rsidRPr="00FA3675">
        <w:rPr>
          <w:rFonts w:ascii="Cambria" w:hAnsi="Cambria"/>
          <w:sz w:val="21"/>
          <w:szCs w:val="21"/>
        </w:rPr>
        <w:t xml:space="preserve"> with </w:t>
      </w:r>
      <w:r w:rsidR="00DE1BCE" w:rsidRPr="00FA3675">
        <w:rPr>
          <w:rFonts w:ascii="Cambria" w:hAnsi="Cambria"/>
          <w:sz w:val="21"/>
          <w:szCs w:val="21"/>
        </w:rPr>
        <w:t>Consortium Partner Schools</w:t>
      </w:r>
      <w:r w:rsidR="003C4C73" w:rsidRPr="00FA3675">
        <w:rPr>
          <w:rFonts w:ascii="Cambria" w:hAnsi="Cambria"/>
          <w:sz w:val="21"/>
          <w:szCs w:val="21"/>
        </w:rPr>
        <w:t>,</w:t>
      </w:r>
      <w:r w:rsidR="00970BA0" w:rsidRPr="00FA3675">
        <w:rPr>
          <w:rFonts w:ascii="Cambria" w:hAnsi="Cambria"/>
          <w:sz w:val="21"/>
          <w:szCs w:val="21"/>
        </w:rPr>
        <w:t>(</w:t>
      </w:r>
      <w:r w:rsidR="00347CBC" w:rsidRPr="00FA3675">
        <w:rPr>
          <w:rFonts w:ascii="Cambria" w:hAnsi="Cambria"/>
          <w:sz w:val="21"/>
          <w:szCs w:val="21"/>
        </w:rPr>
        <w:t>3) Manage Consortium Leadership Team</w:t>
      </w:r>
      <w:r w:rsidR="003C4C73" w:rsidRPr="00FA3675">
        <w:rPr>
          <w:rFonts w:ascii="Cambria" w:hAnsi="Cambria"/>
          <w:sz w:val="21"/>
          <w:szCs w:val="21"/>
        </w:rPr>
        <w:t xml:space="preserve"> </w:t>
      </w:r>
      <w:r w:rsidR="00970BA0" w:rsidRPr="00FA3675">
        <w:rPr>
          <w:rFonts w:ascii="Cambria" w:hAnsi="Cambria"/>
          <w:sz w:val="21"/>
          <w:szCs w:val="21"/>
        </w:rPr>
        <w:t>(</w:t>
      </w:r>
      <w:r w:rsidR="00347CBC" w:rsidRPr="00FA3675">
        <w:rPr>
          <w:rFonts w:ascii="Cambria" w:hAnsi="Cambria"/>
          <w:sz w:val="21"/>
          <w:szCs w:val="21"/>
        </w:rPr>
        <w:t xml:space="preserve">4) </w:t>
      </w:r>
      <w:r w:rsidR="003C4C73" w:rsidRPr="00FA3675">
        <w:rPr>
          <w:rFonts w:ascii="Cambria" w:hAnsi="Cambria"/>
          <w:sz w:val="21"/>
          <w:szCs w:val="21"/>
        </w:rPr>
        <w:t xml:space="preserve">Coordination with each consortium </w:t>
      </w:r>
      <w:r w:rsidR="00347CBC" w:rsidRPr="00FA3675">
        <w:rPr>
          <w:rFonts w:ascii="Cambria" w:hAnsi="Cambria"/>
          <w:sz w:val="21"/>
          <w:szCs w:val="21"/>
        </w:rPr>
        <w:t xml:space="preserve">school </w:t>
      </w:r>
      <w:r w:rsidR="003C4C73" w:rsidRPr="00FA3675">
        <w:rPr>
          <w:rFonts w:ascii="Cambria" w:hAnsi="Cambria"/>
          <w:sz w:val="21"/>
          <w:szCs w:val="21"/>
        </w:rPr>
        <w:t>project team,</w:t>
      </w:r>
      <w:r w:rsidR="00347CBC" w:rsidRPr="00FA3675">
        <w:rPr>
          <w:rFonts w:ascii="Cambria" w:hAnsi="Cambria"/>
          <w:sz w:val="21"/>
          <w:szCs w:val="21"/>
        </w:rPr>
        <w:t xml:space="preserve"> </w:t>
      </w:r>
      <w:r w:rsidR="00970BA0" w:rsidRPr="00FA3675">
        <w:rPr>
          <w:rFonts w:ascii="Cambria" w:hAnsi="Cambria"/>
          <w:sz w:val="21"/>
          <w:szCs w:val="21"/>
        </w:rPr>
        <w:t>(</w:t>
      </w:r>
      <w:r w:rsidR="00347CBC" w:rsidRPr="00FA3675">
        <w:rPr>
          <w:rFonts w:ascii="Cambria" w:hAnsi="Cambria"/>
          <w:sz w:val="21"/>
          <w:szCs w:val="21"/>
        </w:rPr>
        <w:t xml:space="preserve">5) Coordination with NCC </w:t>
      </w:r>
      <w:r w:rsidRPr="00FA3675">
        <w:rPr>
          <w:rFonts w:ascii="Cambria" w:hAnsi="Cambria"/>
          <w:sz w:val="21"/>
          <w:szCs w:val="21"/>
        </w:rPr>
        <w:t xml:space="preserve">Grant Accountants, Grants Office, </w:t>
      </w:r>
      <w:r w:rsidR="006768AC" w:rsidRPr="00FA3675">
        <w:rPr>
          <w:rFonts w:ascii="Cambria" w:hAnsi="Cambria"/>
          <w:sz w:val="21"/>
          <w:szCs w:val="21"/>
        </w:rPr>
        <w:t xml:space="preserve">Institutional Research Office, </w:t>
      </w:r>
      <w:r w:rsidR="00A66792" w:rsidRPr="00FA3675">
        <w:rPr>
          <w:rFonts w:ascii="Cambria" w:hAnsi="Cambria"/>
          <w:sz w:val="21"/>
          <w:szCs w:val="21"/>
        </w:rPr>
        <w:t>D</w:t>
      </w:r>
      <w:r w:rsidRPr="00FA3675">
        <w:rPr>
          <w:rFonts w:ascii="Cambria" w:hAnsi="Cambria"/>
          <w:sz w:val="21"/>
          <w:szCs w:val="21"/>
        </w:rPr>
        <w:t>eans and</w:t>
      </w:r>
      <w:r w:rsidR="006005D5" w:rsidRPr="00FA3675">
        <w:rPr>
          <w:rFonts w:ascii="Cambria" w:hAnsi="Cambria"/>
          <w:sz w:val="21"/>
          <w:szCs w:val="21"/>
        </w:rPr>
        <w:t xml:space="preserve"> key grant project staff</w:t>
      </w:r>
      <w:r w:rsidRPr="00FA3675">
        <w:rPr>
          <w:rFonts w:ascii="Cambria" w:hAnsi="Cambria"/>
          <w:sz w:val="21"/>
          <w:szCs w:val="21"/>
        </w:rPr>
        <w:t>.</w:t>
      </w:r>
    </w:p>
    <w:p w14:paraId="6BCEEDE1" w14:textId="77777777" w:rsidR="00A826D1" w:rsidRPr="00FA3675" w:rsidRDefault="00A826D1" w:rsidP="00FA3675">
      <w:pPr>
        <w:ind w:left="720"/>
        <w:jc w:val="both"/>
        <w:rPr>
          <w:rFonts w:ascii="Cambria" w:hAnsi="Cambria"/>
          <w:color w:val="00B0F0"/>
          <w:sz w:val="21"/>
          <w:szCs w:val="21"/>
        </w:rPr>
      </w:pPr>
    </w:p>
    <w:p w14:paraId="7C88B0DE" w14:textId="77777777" w:rsidR="00A826D1" w:rsidRPr="00FA3675" w:rsidRDefault="00A826D1" w:rsidP="00FA3675">
      <w:pPr>
        <w:ind w:left="720"/>
        <w:jc w:val="both"/>
        <w:rPr>
          <w:rFonts w:ascii="Cambria" w:hAnsi="Cambria"/>
          <w:sz w:val="21"/>
          <w:szCs w:val="21"/>
        </w:rPr>
      </w:pPr>
      <w:r w:rsidRPr="00FA3675">
        <w:rPr>
          <w:rFonts w:ascii="Cambria" w:hAnsi="Cambria"/>
          <w:b/>
          <w:sz w:val="21"/>
          <w:szCs w:val="21"/>
          <w:u w:val="single"/>
        </w:rPr>
        <w:t>Performance Standards</w:t>
      </w:r>
      <w:r w:rsidRPr="00FA3675">
        <w:rPr>
          <w:rFonts w:ascii="Cambria" w:hAnsi="Cambria"/>
          <w:sz w:val="21"/>
          <w:szCs w:val="21"/>
          <w:u w:val="single"/>
        </w:rPr>
        <w:t>:</w:t>
      </w:r>
      <w:r w:rsidRPr="00FA3675">
        <w:rPr>
          <w:rFonts w:ascii="Cambria" w:hAnsi="Cambria"/>
          <w:sz w:val="21"/>
          <w:szCs w:val="21"/>
        </w:rPr>
        <w:t xml:space="preserve">  Performance in this position is considered satisfactory when:  (1) mutually agreed upon objectives have been attained within a specified time frame; (2) responsibilities of the position have been carried out on a level consistent with performance objectives, (3) effective cooperative relationships exist with members of the administrative team.</w:t>
      </w:r>
    </w:p>
    <w:p w14:paraId="22F636A7" w14:textId="77777777" w:rsidR="00A826D1" w:rsidRPr="00FA3675" w:rsidRDefault="00A826D1" w:rsidP="00FA3675">
      <w:pPr>
        <w:ind w:left="720"/>
        <w:jc w:val="both"/>
        <w:rPr>
          <w:rFonts w:ascii="Cambria" w:hAnsi="Cambria"/>
          <w:color w:val="00B0F0"/>
          <w:sz w:val="21"/>
          <w:szCs w:val="21"/>
        </w:rPr>
      </w:pPr>
    </w:p>
    <w:p w14:paraId="5A9B5DD6" w14:textId="366B9139" w:rsidR="000C54D5" w:rsidRPr="00FA3675" w:rsidRDefault="00A826D1" w:rsidP="00FA3675">
      <w:pPr>
        <w:ind w:left="720"/>
        <w:jc w:val="both"/>
        <w:rPr>
          <w:rFonts w:ascii="Cambria" w:hAnsi="Cambria"/>
          <w:sz w:val="21"/>
          <w:szCs w:val="21"/>
        </w:rPr>
      </w:pPr>
      <w:r w:rsidRPr="00FA3675">
        <w:rPr>
          <w:rFonts w:ascii="Cambria" w:hAnsi="Cambria"/>
          <w:b/>
          <w:sz w:val="21"/>
          <w:szCs w:val="21"/>
          <w:u w:val="single"/>
        </w:rPr>
        <w:t>Qualifications</w:t>
      </w:r>
      <w:r w:rsidR="000C54D5" w:rsidRPr="00FA3675">
        <w:rPr>
          <w:rFonts w:ascii="Cambria" w:hAnsi="Cambria"/>
          <w:b/>
          <w:sz w:val="21"/>
          <w:szCs w:val="21"/>
        </w:rPr>
        <w:t>:</w:t>
      </w:r>
      <w:r w:rsidRPr="00FA3675">
        <w:rPr>
          <w:rFonts w:ascii="Cambria" w:hAnsi="Cambria"/>
          <w:sz w:val="21"/>
          <w:szCs w:val="21"/>
        </w:rPr>
        <w:t xml:space="preserve"> </w:t>
      </w:r>
      <w:r w:rsidR="00970BA0" w:rsidRPr="00FA3675">
        <w:rPr>
          <w:rFonts w:ascii="Cambria" w:hAnsi="Cambria"/>
          <w:sz w:val="21"/>
          <w:szCs w:val="21"/>
        </w:rPr>
        <w:t xml:space="preserve">(1) </w:t>
      </w:r>
      <w:r w:rsidR="00970BA0" w:rsidRPr="00FA3675">
        <w:rPr>
          <w:rFonts w:ascii="Cambria" w:hAnsi="Cambria"/>
          <w:sz w:val="21"/>
          <w:szCs w:val="21"/>
          <w:u w:val="single"/>
        </w:rPr>
        <w:t>Education</w:t>
      </w:r>
      <w:r w:rsidR="00970BA0" w:rsidRPr="00FA3675">
        <w:rPr>
          <w:rFonts w:ascii="Cambria" w:hAnsi="Cambria"/>
          <w:sz w:val="21"/>
          <w:szCs w:val="21"/>
        </w:rPr>
        <w:t xml:space="preserve">: </w:t>
      </w:r>
      <w:r w:rsidR="00347CBC" w:rsidRPr="00FA3675">
        <w:rPr>
          <w:rFonts w:ascii="Cambria" w:hAnsi="Cambria"/>
          <w:sz w:val="21"/>
          <w:szCs w:val="21"/>
        </w:rPr>
        <w:t xml:space="preserve">Bachelor’s degree </w:t>
      </w:r>
      <w:r w:rsidR="00FE57E1" w:rsidRPr="00FA3675">
        <w:rPr>
          <w:rFonts w:ascii="Cambria" w:hAnsi="Cambria"/>
          <w:sz w:val="21"/>
          <w:szCs w:val="21"/>
        </w:rPr>
        <w:t xml:space="preserve">from a regionally-accredited college or university </w:t>
      </w:r>
      <w:r w:rsidR="00347CBC" w:rsidRPr="00FA3675">
        <w:rPr>
          <w:rFonts w:ascii="Cambria" w:hAnsi="Cambria"/>
          <w:sz w:val="21"/>
          <w:szCs w:val="21"/>
        </w:rPr>
        <w:t>required;</w:t>
      </w:r>
      <w:r w:rsidR="00DE1BCE" w:rsidRPr="00FA3675">
        <w:rPr>
          <w:rFonts w:ascii="Cambria" w:hAnsi="Cambria"/>
          <w:sz w:val="21"/>
          <w:szCs w:val="21"/>
        </w:rPr>
        <w:t xml:space="preserve"> Master</w:t>
      </w:r>
      <w:r w:rsidR="00FE57E1" w:rsidRPr="00FA3675">
        <w:rPr>
          <w:rFonts w:ascii="Cambria" w:hAnsi="Cambria"/>
          <w:sz w:val="21"/>
          <w:szCs w:val="21"/>
        </w:rPr>
        <w:t>’</w:t>
      </w:r>
      <w:r w:rsidR="00DE1BCE" w:rsidRPr="00FA3675">
        <w:rPr>
          <w:rFonts w:ascii="Cambria" w:hAnsi="Cambria"/>
          <w:sz w:val="21"/>
          <w:szCs w:val="21"/>
        </w:rPr>
        <w:t xml:space="preserve">s </w:t>
      </w:r>
      <w:r w:rsidR="003C4C73" w:rsidRPr="00FA3675">
        <w:rPr>
          <w:rFonts w:ascii="Cambria" w:hAnsi="Cambria"/>
          <w:sz w:val="21"/>
          <w:szCs w:val="21"/>
        </w:rPr>
        <w:t xml:space="preserve">with Project Management Certification </w:t>
      </w:r>
      <w:r w:rsidR="00EA1BE1" w:rsidRPr="00FA3675">
        <w:rPr>
          <w:rFonts w:ascii="Cambria" w:hAnsi="Cambria"/>
          <w:sz w:val="21"/>
          <w:szCs w:val="21"/>
        </w:rPr>
        <w:t>preferred</w:t>
      </w:r>
      <w:r w:rsidR="00EA1BE1" w:rsidRPr="00FA3675">
        <w:rPr>
          <w:rFonts w:ascii="Cambria" w:hAnsi="Cambria"/>
          <w:color w:val="00B0F0"/>
          <w:sz w:val="21"/>
          <w:szCs w:val="21"/>
        </w:rPr>
        <w:t>.</w:t>
      </w:r>
      <w:r w:rsidR="00DE1BCE" w:rsidRPr="00FA3675">
        <w:rPr>
          <w:rFonts w:ascii="Cambria" w:hAnsi="Cambria"/>
          <w:sz w:val="21"/>
          <w:szCs w:val="21"/>
        </w:rPr>
        <w:t xml:space="preserve"> </w:t>
      </w:r>
      <w:r w:rsidR="00970BA0" w:rsidRPr="00FA3675">
        <w:rPr>
          <w:rFonts w:ascii="Cambria" w:hAnsi="Cambria"/>
          <w:sz w:val="21"/>
          <w:szCs w:val="21"/>
        </w:rPr>
        <w:t xml:space="preserve">(2) </w:t>
      </w:r>
      <w:r w:rsidR="00970BA0" w:rsidRPr="00FA3675">
        <w:rPr>
          <w:rFonts w:ascii="Cambria" w:hAnsi="Cambria"/>
          <w:sz w:val="21"/>
          <w:szCs w:val="21"/>
          <w:u w:val="single"/>
        </w:rPr>
        <w:t>Skills, Knowledge, Abilities</w:t>
      </w:r>
      <w:r w:rsidR="00970BA0" w:rsidRPr="00FA3675">
        <w:rPr>
          <w:rFonts w:ascii="Cambria" w:hAnsi="Cambria"/>
          <w:sz w:val="21"/>
          <w:szCs w:val="21"/>
        </w:rPr>
        <w:t xml:space="preserve">: </w:t>
      </w:r>
      <w:r w:rsidR="00D96E9B" w:rsidRPr="00FA3675">
        <w:rPr>
          <w:rFonts w:ascii="Cambria" w:hAnsi="Cambria"/>
          <w:sz w:val="21"/>
          <w:szCs w:val="21"/>
        </w:rPr>
        <w:t xml:space="preserve"> (a) Ability to view project within a larger context and seek to leverage additional resources and opportunities; (b</w:t>
      </w:r>
      <w:r w:rsidR="004F0009" w:rsidRPr="00FA3675">
        <w:rPr>
          <w:rFonts w:ascii="Cambria" w:hAnsi="Cambria"/>
          <w:sz w:val="21"/>
          <w:szCs w:val="21"/>
        </w:rPr>
        <w:t>) ability</w:t>
      </w:r>
      <w:r w:rsidR="003D1146" w:rsidRPr="00FA3675">
        <w:rPr>
          <w:rFonts w:ascii="Cambria" w:hAnsi="Cambria"/>
          <w:bCs/>
          <w:sz w:val="21"/>
          <w:szCs w:val="21"/>
        </w:rPr>
        <w:t xml:space="preserve"> to solve problems creatively to meet program goals and objectives</w:t>
      </w:r>
      <w:r w:rsidR="00D96E9B" w:rsidRPr="00FA3675">
        <w:rPr>
          <w:rFonts w:ascii="Cambria" w:hAnsi="Cambria"/>
          <w:bCs/>
          <w:sz w:val="21"/>
          <w:szCs w:val="21"/>
        </w:rPr>
        <w:t>; (c</w:t>
      </w:r>
      <w:r w:rsidR="00970BA0" w:rsidRPr="00FA3675">
        <w:rPr>
          <w:rFonts w:ascii="Cambria" w:hAnsi="Cambria"/>
          <w:bCs/>
          <w:sz w:val="21"/>
          <w:szCs w:val="21"/>
        </w:rPr>
        <w:t xml:space="preserve">) </w:t>
      </w:r>
      <w:r w:rsidR="00FE57E1" w:rsidRPr="00FA3675">
        <w:rPr>
          <w:rFonts w:ascii="Cambria" w:hAnsi="Cambria"/>
          <w:sz w:val="21"/>
          <w:szCs w:val="21"/>
        </w:rPr>
        <w:t>d</w:t>
      </w:r>
      <w:r w:rsidR="00347CBC" w:rsidRPr="00FA3675">
        <w:rPr>
          <w:rFonts w:ascii="Cambria" w:hAnsi="Cambria"/>
          <w:sz w:val="21"/>
          <w:szCs w:val="21"/>
        </w:rPr>
        <w:t>emonstrated understanding of legal and regulatory environment which governs the operations of</w:t>
      </w:r>
      <w:r w:rsidR="008879C7" w:rsidRPr="00FA3675">
        <w:rPr>
          <w:rFonts w:ascii="Cambria" w:hAnsi="Cambria"/>
          <w:sz w:val="21"/>
          <w:szCs w:val="21"/>
        </w:rPr>
        <w:t xml:space="preserve"> a higher education institution; </w:t>
      </w:r>
      <w:r w:rsidR="004F0009" w:rsidRPr="00FA3675">
        <w:rPr>
          <w:rFonts w:ascii="Cambria" w:hAnsi="Cambria"/>
          <w:sz w:val="21"/>
          <w:szCs w:val="21"/>
        </w:rPr>
        <w:t>(d</w:t>
      </w:r>
      <w:r w:rsidR="00970BA0" w:rsidRPr="00FA3675">
        <w:rPr>
          <w:rFonts w:ascii="Cambria" w:hAnsi="Cambria"/>
          <w:sz w:val="21"/>
          <w:szCs w:val="21"/>
        </w:rPr>
        <w:t xml:space="preserve">) </w:t>
      </w:r>
      <w:r w:rsidR="00FE57E1" w:rsidRPr="00FA3675">
        <w:rPr>
          <w:rFonts w:ascii="Cambria" w:hAnsi="Cambria"/>
          <w:sz w:val="21"/>
          <w:szCs w:val="21"/>
        </w:rPr>
        <w:t>f</w:t>
      </w:r>
      <w:r w:rsidR="00DE1BCE" w:rsidRPr="00FA3675">
        <w:rPr>
          <w:rFonts w:ascii="Cambria" w:hAnsi="Cambria"/>
          <w:sz w:val="21"/>
          <w:szCs w:val="21"/>
        </w:rPr>
        <w:t>amiliarity with evaluation techni</w:t>
      </w:r>
      <w:r w:rsidR="008879C7" w:rsidRPr="00FA3675">
        <w:rPr>
          <w:rFonts w:ascii="Cambria" w:hAnsi="Cambria"/>
          <w:sz w:val="21"/>
          <w:szCs w:val="21"/>
        </w:rPr>
        <w:t>q</w:t>
      </w:r>
      <w:r w:rsidR="00970BA0" w:rsidRPr="00FA3675">
        <w:rPr>
          <w:rFonts w:ascii="Cambria" w:hAnsi="Cambria"/>
          <w:sz w:val="21"/>
          <w:szCs w:val="21"/>
        </w:rPr>
        <w:t>ue</w:t>
      </w:r>
      <w:r w:rsidR="00D96E9B" w:rsidRPr="00FA3675">
        <w:rPr>
          <w:rFonts w:ascii="Cambria" w:hAnsi="Cambria"/>
          <w:sz w:val="21"/>
          <w:szCs w:val="21"/>
        </w:rPr>
        <w:t>s</w:t>
      </w:r>
      <w:r w:rsidR="004F0009" w:rsidRPr="00FA3675">
        <w:rPr>
          <w:rFonts w:ascii="Cambria" w:hAnsi="Cambria"/>
          <w:sz w:val="21"/>
          <w:szCs w:val="21"/>
        </w:rPr>
        <w:t>;</w:t>
      </w:r>
      <w:r w:rsidR="00D96E9B" w:rsidRPr="00FA3675">
        <w:rPr>
          <w:rFonts w:ascii="Cambria" w:hAnsi="Cambria"/>
          <w:sz w:val="21"/>
          <w:szCs w:val="21"/>
        </w:rPr>
        <w:t xml:space="preserve"> (e</w:t>
      </w:r>
      <w:r w:rsidR="00970BA0" w:rsidRPr="00FA3675">
        <w:rPr>
          <w:rFonts w:ascii="Cambria" w:hAnsi="Cambria"/>
          <w:sz w:val="21"/>
          <w:szCs w:val="21"/>
        </w:rPr>
        <w:t xml:space="preserve">) </w:t>
      </w:r>
      <w:r w:rsidR="00D73211" w:rsidRPr="00FA3675">
        <w:rPr>
          <w:rFonts w:ascii="Cambria" w:hAnsi="Cambria"/>
          <w:sz w:val="21"/>
          <w:szCs w:val="21"/>
        </w:rPr>
        <w:t>s</w:t>
      </w:r>
      <w:r w:rsidR="008879C7" w:rsidRPr="00FA3675">
        <w:rPr>
          <w:rFonts w:ascii="Cambria" w:hAnsi="Cambria"/>
          <w:sz w:val="21"/>
          <w:szCs w:val="21"/>
        </w:rPr>
        <w:t xml:space="preserve">uperior problem </w:t>
      </w:r>
      <w:r w:rsidR="008879C7" w:rsidRPr="00FA3675">
        <w:rPr>
          <w:rFonts w:ascii="Cambria" w:hAnsi="Cambria"/>
          <w:bCs/>
          <w:sz w:val="21"/>
          <w:szCs w:val="21"/>
        </w:rPr>
        <w:t xml:space="preserve">solving, organizational, and communication skills; </w:t>
      </w:r>
      <w:r w:rsidR="004F0009" w:rsidRPr="00FA3675">
        <w:rPr>
          <w:rFonts w:ascii="Cambria" w:hAnsi="Cambria"/>
          <w:bCs/>
          <w:sz w:val="21"/>
          <w:szCs w:val="21"/>
        </w:rPr>
        <w:t xml:space="preserve">(f) </w:t>
      </w:r>
      <w:r w:rsidR="008879C7" w:rsidRPr="00FA3675">
        <w:rPr>
          <w:rFonts w:ascii="Cambria" w:hAnsi="Cambria"/>
          <w:bCs/>
          <w:sz w:val="21"/>
          <w:szCs w:val="21"/>
        </w:rPr>
        <w:t xml:space="preserve">skill and diplomacy in meeting and dealing with a variety of constituents, both internal and external; </w:t>
      </w:r>
      <w:r w:rsidR="004F0009" w:rsidRPr="00FA3675">
        <w:rPr>
          <w:rFonts w:ascii="Cambria" w:hAnsi="Cambria"/>
          <w:sz w:val="21"/>
          <w:szCs w:val="21"/>
        </w:rPr>
        <w:t>(g)</w:t>
      </w:r>
      <w:r w:rsidR="00970BA0" w:rsidRPr="00FA3675">
        <w:rPr>
          <w:rFonts w:ascii="Cambria" w:hAnsi="Cambria"/>
          <w:sz w:val="21"/>
          <w:szCs w:val="21"/>
        </w:rPr>
        <w:t xml:space="preserve"> </w:t>
      </w:r>
      <w:r w:rsidR="00D73211" w:rsidRPr="00FA3675">
        <w:rPr>
          <w:rFonts w:ascii="Cambria" w:hAnsi="Cambria"/>
          <w:sz w:val="21"/>
          <w:szCs w:val="21"/>
        </w:rPr>
        <w:t>a</w:t>
      </w:r>
      <w:r w:rsidR="00DE1BCE" w:rsidRPr="00FA3675">
        <w:rPr>
          <w:rFonts w:ascii="Cambria" w:hAnsi="Cambria"/>
          <w:sz w:val="21"/>
          <w:szCs w:val="21"/>
        </w:rPr>
        <w:t>bility to communicate</w:t>
      </w:r>
      <w:r w:rsidR="00347CBC" w:rsidRPr="00FA3675">
        <w:rPr>
          <w:rFonts w:ascii="Cambria" w:hAnsi="Cambria"/>
          <w:sz w:val="21"/>
          <w:szCs w:val="21"/>
        </w:rPr>
        <w:t xml:space="preserve"> effectively with internal and </w:t>
      </w:r>
      <w:r w:rsidR="00DE1BCE" w:rsidRPr="00FA3675">
        <w:rPr>
          <w:rFonts w:ascii="Cambria" w:hAnsi="Cambria"/>
          <w:sz w:val="21"/>
          <w:szCs w:val="21"/>
        </w:rPr>
        <w:t>external stakeholders including educators and indu</w:t>
      </w:r>
      <w:r w:rsidR="00970BA0" w:rsidRPr="00FA3675">
        <w:rPr>
          <w:rFonts w:ascii="Cambria" w:hAnsi="Cambria"/>
          <w:sz w:val="21"/>
          <w:szCs w:val="21"/>
        </w:rPr>
        <w:t>stry partners;</w:t>
      </w:r>
      <w:r w:rsidR="00DE1BCE" w:rsidRPr="00FA3675">
        <w:rPr>
          <w:rFonts w:ascii="Cambria" w:hAnsi="Cambria"/>
          <w:sz w:val="21"/>
          <w:szCs w:val="21"/>
        </w:rPr>
        <w:t xml:space="preserve"> </w:t>
      </w:r>
      <w:r w:rsidR="004F0009" w:rsidRPr="00FA3675">
        <w:rPr>
          <w:rFonts w:ascii="Cambria" w:hAnsi="Cambria"/>
          <w:sz w:val="21"/>
          <w:szCs w:val="21"/>
        </w:rPr>
        <w:t>(h</w:t>
      </w:r>
      <w:r w:rsidR="00970BA0" w:rsidRPr="00FA3675">
        <w:rPr>
          <w:rFonts w:ascii="Cambria" w:hAnsi="Cambria"/>
          <w:sz w:val="21"/>
          <w:szCs w:val="21"/>
        </w:rPr>
        <w:t xml:space="preserve">) </w:t>
      </w:r>
      <w:r w:rsidR="00A21324" w:rsidRPr="00FA3675">
        <w:rPr>
          <w:rFonts w:ascii="Cambria" w:hAnsi="Cambria"/>
          <w:sz w:val="21"/>
          <w:szCs w:val="21"/>
        </w:rPr>
        <w:t>ability</w:t>
      </w:r>
      <w:r w:rsidR="00DE1BCE" w:rsidRPr="00FA3675">
        <w:rPr>
          <w:rFonts w:ascii="Cambria" w:hAnsi="Cambria"/>
          <w:sz w:val="21"/>
          <w:szCs w:val="21"/>
        </w:rPr>
        <w:t xml:space="preserve"> to work collaboratively with the academic deans, instructors, workforce administrators, and government agencies.  </w:t>
      </w:r>
      <w:r w:rsidR="00970BA0" w:rsidRPr="00FA3675">
        <w:rPr>
          <w:rFonts w:ascii="Cambria" w:hAnsi="Cambria"/>
          <w:sz w:val="21"/>
          <w:szCs w:val="21"/>
        </w:rPr>
        <w:t xml:space="preserve">(3) </w:t>
      </w:r>
      <w:r w:rsidR="00970BA0" w:rsidRPr="00FA3675">
        <w:rPr>
          <w:rFonts w:ascii="Cambria" w:hAnsi="Cambria"/>
          <w:sz w:val="21"/>
          <w:szCs w:val="21"/>
          <w:u w:val="single"/>
        </w:rPr>
        <w:t>Experience</w:t>
      </w:r>
      <w:r w:rsidR="00970BA0" w:rsidRPr="00FA3675">
        <w:rPr>
          <w:rFonts w:ascii="Cambria" w:hAnsi="Cambria"/>
          <w:sz w:val="21"/>
          <w:szCs w:val="21"/>
        </w:rPr>
        <w:t xml:space="preserve">: (a) </w:t>
      </w:r>
      <w:r w:rsidR="00A21324" w:rsidRPr="00FA3675">
        <w:rPr>
          <w:rFonts w:ascii="Cambria" w:hAnsi="Cambria"/>
          <w:sz w:val="21"/>
          <w:szCs w:val="21"/>
        </w:rPr>
        <w:t xml:space="preserve">minimum </w:t>
      </w:r>
      <w:r w:rsidR="00D96E9B" w:rsidRPr="00FA3675">
        <w:rPr>
          <w:rFonts w:ascii="Cambria" w:hAnsi="Cambria"/>
          <w:sz w:val="21"/>
          <w:szCs w:val="21"/>
        </w:rPr>
        <w:t xml:space="preserve">of seven of experience in higher education, preferably </w:t>
      </w:r>
      <w:r w:rsidR="004F0009" w:rsidRPr="00FA3675">
        <w:rPr>
          <w:rFonts w:ascii="Cambria" w:hAnsi="Cambria"/>
          <w:sz w:val="21"/>
          <w:szCs w:val="21"/>
        </w:rPr>
        <w:t>at a community college;</w:t>
      </w:r>
      <w:r w:rsidR="00D96E9B" w:rsidRPr="00FA3675">
        <w:rPr>
          <w:rFonts w:ascii="Cambria" w:hAnsi="Cambria"/>
          <w:sz w:val="21"/>
          <w:szCs w:val="21"/>
        </w:rPr>
        <w:t xml:space="preserve"> (b) Prior experience in managing large scale grants or projects on a campus or acr</w:t>
      </w:r>
      <w:r w:rsidR="004F0009" w:rsidRPr="00FA3675">
        <w:rPr>
          <w:rFonts w:ascii="Cambria" w:hAnsi="Cambria"/>
          <w:sz w:val="21"/>
          <w:szCs w:val="21"/>
        </w:rPr>
        <w:t>oss multiple partners preferred;</w:t>
      </w:r>
      <w:r w:rsidR="00D96E9B" w:rsidRPr="00FA3675">
        <w:rPr>
          <w:rFonts w:ascii="Cambria" w:hAnsi="Cambria"/>
          <w:sz w:val="21"/>
          <w:szCs w:val="21"/>
        </w:rPr>
        <w:t xml:space="preserve"> </w:t>
      </w:r>
      <w:r w:rsidR="004F0009" w:rsidRPr="00FA3675">
        <w:rPr>
          <w:rFonts w:ascii="Cambria" w:hAnsi="Cambria"/>
          <w:sz w:val="21"/>
          <w:szCs w:val="21"/>
        </w:rPr>
        <w:t>(c</w:t>
      </w:r>
      <w:r w:rsidR="00970BA0" w:rsidRPr="00FA3675">
        <w:rPr>
          <w:rFonts w:ascii="Cambria" w:hAnsi="Cambria"/>
          <w:sz w:val="21"/>
          <w:szCs w:val="21"/>
        </w:rPr>
        <w:t xml:space="preserve">) </w:t>
      </w:r>
      <w:r w:rsidR="00D73211" w:rsidRPr="00FA3675">
        <w:rPr>
          <w:rFonts w:ascii="Cambria" w:hAnsi="Cambria"/>
          <w:sz w:val="21"/>
          <w:szCs w:val="21"/>
        </w:rPr>
        <w:t>d</w:t>
      </w:r>
      <w:r w:rsidR="00970BA0" w:rsidRPr="00FA3675">
        <w:rPr>
          <w:rFonts w:ascii="Cambria" w:hAnsi="Cambria"/>
          <w:sz w:val="21"/>
          <w:szCs w:val="21"/>
        </w:rPr>
        <w:t>emonstrated experience in providing leadership in the administration of a large grant progr</w:t>
      </w:r>
      <w:r w:rsidR="00E936BB" w:rsidRPr="00FA3675">
        <w:rPr>
          <w:rFonts w:ascii="Cambria" w:hAnsi="Cambria"/>
          <w:sz w:val="21"/>
          <w:szCs w:val="21"/>
        </w:rPr>
        <w:t>am with collaborative partners.</w:t>
      </w:r>
    </w:p>
    <w:p w14:paraId="43939112" w14:textId="77777777" w:rsidR="0082293A" w:rsidRPr="00FA3675" w:rsidRDefault="0082293A" w:rsidP="00FA3675">
      <w:pPr>
        <w:ind w:left="720"/>
        <w:jc w:val="both"/>
        <w:rPr>
          <w:rFonts w:ascii="Cambria" w:hAnsi="Cambria"/>
          <w:sz w:val="21"/>
          <w:szCs w:val="21"/>
        </w:rPr>
      </w:pPr>
    </w:p>
    <w:p w14:paraId="208E3022" w14:textId="77777777" w:rsidR="0082293A" w:rsidRPr="00FA3675" w:rsidRDefault="0082293A" w:rsidP="00FA3675">
      <w:pPr>
        <w:ind w:left="720"/>
        <w:jc w:val="both"/>
        <w:rPr>
          <w:rFonts w:ascii="Cambria" w:hAnsi="Cambria"/>
          <w:sz w:val="21"/>
          <w:szCs w:val="21"/>
        </w:rPr>
      </w:pPr>
      <w:r w:rsidRPr="00FA3675">
        <w:rPr>
          <w:rFonts w:ascii="Cambria" w:hAnsi="Cambria"/>
          <w:sz w:val="21"/>
          <w:szCs w:val="21"/>
        </w:rPr>
        <w:t> </w:t>
      </w:r>
    </w:p>
    <w:p w14:paraId="0F313B7B" w14:textId="77777777" w:rsidR="0082293A" w:rsidRPr="00FA3675" w:rsidRDefault="0082293A" w:rsidP="00FA3675">
      <w:pPr>
        <w:ind w:left="720"/>
        <w:jc w:val="both"/>
        <w:rPr>
          <w:rFonts w:ascii="Cambria" w:hAnsi="Cambria"/>
          <w:sz w:val="21"/>
          <w:szCs w:val="21"/>
        </w:rPr>
      </w:pPr>
    </w:p>
    <w:sectPr w:rsidR="0082293A" w:rsidRPr="00FA3675" w:rsidSect="00486628">
      <w:headerReference w:type="default" r:id="rId7"/>
      <w:footerReference w:type="default" r:id="rId8"/>
      <w:pgSz w:w="12240" w:h="15840"/>
      <w:pgMar w:top="576" w:right="1296" w:bottom="576" w:left="1296" w:header="0" w:footer="7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EBD76" w14:textId="77777777" w:rsidR="00506BCE" w:rsidRDefault="00506BCE" w:rsidP="00C23184">
      <w:r>
        <w:separator/>
      </w:r>
    </w:p>
  </w:endnote>
  <w:endnote w:type="continuationSeparator" w:id="0">
    <w:p w14:paraId="61BBA6B4" w14:textId="77777777" w:rsidR="00506BCE" w:rsidRDefault="00506BCE" w:rsidP="00C2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77CB4" w14:textId="5CF3AFF6" w:rsidR="00486628" w:rsidRDefault="00486628">
    <w:pPr>
      <w:pStyle w:val="Footer"/>
    </w:pPr>
    <w:r w:rsidRPr="005D526C">
      <w:rPr>
        <w:noProof/>
      </w:rPr>
      <w:drawing>
        <wp:anchor distT="0" distB="0" distL="114300" distR="114300" simplePos="0" relativeHeight="251658240" behindDoc="1" locked="0" layoutInCell="1" allowOverlap="1" wp14:anchorId="02393F3D" wp14:editId="693BC81F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6172200" cy="552450"/>
          <wp:effectExtent l="0" t="0" r="0" b="0"/>
          <wp:wrapTight wrapText="bothSides">
            <wp:wrapPolygon edited="0">
              <wp:start x="67" y="745"/>
              <wp:lineTo x="0" y="20110"/>
              <wp:lineTo x="15667" y="20855"/>
              <wp:lineTo x="16000" y="20855"/>
              <wp:lineTo x="19533" y="20110"/>
              <wp:lineTo x="19400" y="14152"/>
              <wp:lineTo x="21467" y="13407"/>
              <wp:lineTo x="21533" y="8938"/>
              <wp:lineTo x="20400" y="745"/>
              <wp:lineTo x="67" y="745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ug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23333" r="1666" b="28333"/>
                  <a:stretch/>
                </pic:blipFill>
                <pic:spPr bwMode="auto">
                  <a:xfrm>
                    <a:off x="0" y="0"/>
                    <a:ext cx="61722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8958B" w14:textId="77777777" w:rsidR="00486628" w:rsidRDefault="0048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ECA58" w14:textId="77777777" w:rsidR="00506BCE" w:rsidRDefault="00506BCE" w:rsidP="00C23184">
      <w:r>
        <w:separator/>
      </w:r>
    </w:p>
  </w:footnote>
  <w:footnote w:type="continuationSeparator" w:id="0">
    <w:p w14:paraId="677B9277" w14:textId="77777777" w:rsidR="00506BCE" w:rsidRDefault="00506BCE" w:rsidP="00C2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0ADF" w14:textId="77777777" w:rsidR="004F0009" w:rsidRPr="00EA1BE1" w:rsidRDefault="004F0009">
    <w:pPr>
      <w:pStyle w:val="Header"/>
      <w:rPr>
        <w:b/>
        <w:i/>
        <w:sz w:val="18"/>
        <w:szCs w:val="18"/>
      </w:rPr>
    </w:pPr>
    <w:r>
      <w:rPr>
        <w:b/>
        <w:i/>
      </w:rPr>
      <w:t xml:space="preserve">                                                                                                   </w:t>
    </w:r>
  </w:p>
  <w:p w14:paraId="673C08F1" w14:textId="77777777" w:rsidR="004F0009" w:rsidRPr="00EA1BE1" w:rsidRDefault="004F0009">
    <w:pPr>
      <w:pStyle w:val="Header"/>
      <w:rPr>
        <w:b/>
        <w:i/>
        <w:sz w:val="18"/>
        <w:szCs w:val="18"/>
      </w:rPr>
    </w:pPr>
    <w:r w:rsidRPr="00EA1BE1">
      <w:rPr>
        <w:b/>
        <w:i/>
        <w:sz w:val="18"/>
        <w:szCs w:val="18"/>
      </w:rPr>
      <w:t xml:space="preserve">                                                                                   </w:t>
    </w:r>
  </w:p>
  <w:p w14:paraId="052FF02D" w14:textId="77777777" w:rsidR="004F0009" w:rsidRPr="00D73211" w:rsidRDefault="004F0009">
    <w:pPr>
      <w:pStyle w:val="Header"/>
      <w:rPr>
        <w:b/>
        <w:i/>
      </w:rPr>
    </w:pPr>
    <w:r w:rsidRPr="00D73211">
      <w:rPr>
        <w:b/>
        <w:i/>
      </w:rPr>
      <w:t xml:space="preserve">                                                                                                              </w:t>
    </w:r>
  </w:p>
  <w:p w14:paraId="1B1DB409" w14:textId="77777777" w:rsidR="004F0009" w:rsidRDefault="004F0009" w:rsidP="00527420">
    <w:pPr>
      <w:jc w:val="center"/>
      <w:rPr>
        <w:b/>
      </w:rPr>
    </w:pPr>
    <w:r w:rsidRPr="00D73211">
      <w:rPr>
        <w:b/>
      </w:rPr>
      <w:t>NORTHAMPTON COMMUNITY COLLEGE</w:t>
    </w:r>
    <w:r>
      <w:rPr>
        <w:b/>
      </w:rPr>
      <w:t xml:space="preserve"> PROCEDURES</w:t>
    </w:r>
  </w:p>
  <w:p w14:paraId="289E26BA" w14:textId="06199D31" w:rsidR="004F0009" w:rsidRDefault="004F0009" w:rsidP="00D73211">
    <w:pPr>
      <w:rPr>
        <w:b/>
      </w:rPr>
    </w:pPr>
  </w:p>
  <w:p w14:paraId="6A875DFE" w14:textId="4770BD49" w:rsidR="004F0009" w:rsidRPr="00D73211" w:rsidRDefault="004F0009" w:rsidP="00D73211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8395F">
      <w:rPr>
        <w:b/>
      </w:rPr>
      <w:tab/>
    </w:r>
    <w:r>
      <w:rPr>
        <w:b/>
      </w:rPr>
      <w:tab/>
    </w:r>
  </w:p>
  <w:p w14:paraId="662DBFA0" w14:textId="77777777" w:rsidR="004F0009" w:rsidRPr="00EA1BE1" w:rsidRDefault="004F0009" w:rsidP="005B194B">
    <w:pPr>
      <w:pStyle w:val="Header"/>
      <w:jc w:val="right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71639"/>
    <w:multiLevelType w:val="hybridMultilevel"/>
    <w:tmpl w:val="2FCE46E8"/>
    <w:lvl w:ilvl="0" w:tplc="437C39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53E5"/>
    <w:multiLevelType w:val="hybridMultilevel"/>
    <w:tmpl w:val="92D22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911"/>
    <w:multiLevelType w:val="hybridMultilevel"/>
    <w:tmpl w:val="C922ABFC"/>
    <w:lvl w:ilvl="0" w:tplc="437C39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2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476BE9"/>
    <w:multiLevelType w:val="hybridMultilevel"/>
    <w:tmpl w:val="35821CC6"/>
    <w:lvl w:ilvl="0" w:tplc="437C39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96108"/>
    <w:multiLevelType w:val="hybridMultilevel"/>
    <w:tmpl w:val="5FBC15A8"/>
    <w:lvl w:ilvl="0" w:tplc="437C39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1F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172F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C1C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B0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082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A00848"/>
    <w:multiLevelType w:val="hybridMultilevel"/>
    <w:tmpl w:val="BBCCF406"/>
    <w:lvl w:ilvl="0" w:tplc="437C39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C11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206D97"/>
    <w:multiLevelType w:val="hybridMultilevel"/>
    <w:tmpl w:val="0E32F10E"/>
    <w:lvl w:ilvl="0" w:tplc="E118EF30">
      <w:start w:val="1"/>
      <w:numFmt w:val="bullet"/>
      <w:lvlText w:val="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4E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B34A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9715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3C66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497D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C217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8B18EB"/>
    <w:multiLevelType w:val="hybridMultilevel"/>
    <w:tmpl w:val="5A8C0108"/>
    <w:lvl w:ilvl="0" w:tplc="437C39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446C9"/>
    <w:multiLevelType w:val="hybridMultilevel"/>
    <w:tmpl w:val="BE926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7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750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5A32BC"/>
    <w:multiLevelType w:val="hybridMultilevel"/>
    <w:tmpl w:val="0ACEF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07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C428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722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0B04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F21F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2E3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CA00E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D31B86"/>
    <w:multiLevelType w:val="hybridMultilevel"/>
    <w:tmpl w:val="9AECE3F6"/>
    <w:lvl w:ilvl="0" w:tplc="D7CAD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E57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A682C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ED49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6"/>
  </w:num>
  <w:num w:numId="3">
    <w:abstractNumId w:val="15"/>
  </w:num>
  <w:num w:numId="4">
    <w:abstractNumId w:val="34"/>
  </w:num>
  <w:num w:numId="5">
    <w:abstractNumId w:val="20"/>
  </w:num>
  <w:num w:numId="6">
    <w:abstractNumId w:val="4"/>
  </w:num>
  <w:num w:numId="7">
    <w:abstractNumId w:val="35"/>
  </w:num>
  <w:num w:numId="8">
    <w:abstractNumId w:val="13"/>
  </w:num>
  <w:num w:numId="9">
    <w:abstractNumId w:val="8"/>
  </w:num>
  <w:num w:numId="10">
    <w:abstractNumId w:val="10"/>
  </w:num>
  <w:num w:numId="11">
    <w:abstractNumId w:val="31"/>
  </w:num>
  <w:num w:numId="12">
    <w:abstractNumId w:val="16"/>
  </w:num>
  <w:num w:numId="13">
    <w:abstractNumId w:val="29"/>
  </w:num>
  <w:num w:numId="14">
    <w:abstractNumId w:val="9"/>
  </w:num>
  <w:num w:numId="15">
    <w:abstractNumId w:val="28"/>
  </w:num>
  <w:num w:numId="16">
    <w:abstractNumId w:val="23"/>
  </w:num>
  <w:num w:numId="17">
    <w:abstractNumId w:val="30"/>
  </w:num>
  <w:num w:numId="18">
    <w:abstractNumId w:val="18"/>
  </w:num>
  <w:num w:numId="19">
    <w:abstractNumId w:val="26"/>
  </w:num>
  <w:num w:numId="20">
    <w:abstractNumId w:val="19"/>
  </w:num>
  <w:num w:numId="21">
    <w:abstractNumId w:val="11"/>
  </w:num>
  <w:num w:numId="22">
    <w:abstractNumId w:val="24"/>
  </w:num>
  <w:num w:numId="23">
    <w:abstractNumId w:val="32"/>
  </w:num>
  <w:num w:numId="24">
    <w:abstractNumId w:val="17"/>
  </w:num>
  <w:num w:numId="25">
    <w:abstractNumId w:val="27"/>
  </w:num>
  <w:num w:numId="26">
    <w:abstractNumId w:val="7"/>
  </w:num>
  <w:num w:numId="27">
    <w:abstractNumId w:val="2"/>
  </w:num>
  <w:num w:numId="28">
    <w:abstractNumId w:val="14"/>
  </w:num>
  <w:num w:numId="29">
    <w:abstractNumId w:val="12"/>
  </w:num>
  <w:num w:numId="30">
    <w:abstractNumId w:val="1"/>
  </w:num>
  <w:num w:numId="31">
    <w:abstractNumId w:val="21"/>
  </w:num>
  <w:num w:numId="32">
    <w:abstractNumId w:val="3"/>
  </w:num>
  <w:num w:numId="33">
    <w:abstractNumId w:val="25"/>
  </w:num>
  <w:num w:numId="34">
    <w:abstractNumId w:val="5"/>
  </w:num>
  <w:num w:numId="35">
    <w:abstractNumId w:val="6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6"/>
    <w:rsid w:val="000307B6"/>
    <w:rsid w:val="00045043"/>
    <w:rsid w:val="0006544E"/>
    <w:rsid w:val="000C54D5"/>
    <w:rsid w:val="00114F59"/>
    <w:rsid w:val="00193229"/>
    <w:rsid w:val="001F3A92"/>
    <w:rsid w:val="002640AE"/>
    <w:rsid w:val="0028395F"/>
    <w:rsid w:val="0031035A"/>
    <w:rsid w:val="00337740"/>
    <w:rsid w:val="00343CC4"/>
    <w:rsid w:val="00347CBC"/>
    <w:rsid w:val="003527B5"/>
    <w:rsid w:val="003560E6"/>
    <w:rsid w:val="003836A2"/>
    <w:rsid w:val="003C22F2"/>
    <w:rsid w:val="003C4C73"/>
    <w:rsid w:val="003D1146"/>
    <w:rsid w:val="00416665"/>
    <w:rsid w:val="0043289E"/>
    <w:rsid w:val="00445847"/>
    <w:rsid w:val="00486628"/>
    <w:rsid w:val="00491019"/>
    <w:rsid w:val="004D4CC8"/>
    <w:rsid w:val="004E70CD"/>
    <w:rsid w:val="004F0009"/>
    <w:rsid w:val="00506BCE"/>
    <w:rsid w:val="00527420"/>
    <w:rsid w:val="00584059"/>
    <w:rsid w:val="005A5F39"/>
    <w:rsid w:val="005B194B"/>
    <w:rsid w:val="006005D5"/>
    <w:rsid w:val="00673FB9"/>
    <w:rsid w:val="006768AC"/>
    <w:rsid w:val="006A1948"/>
    <w:rsid w:val="00713BBF"/>
    <w:rsid w:val="007B39D0"/>
    <w:rsid w:val="007C2755"/>
    <w:rsid w:val="0082293A"/>
    <w:rsid w:val="008643D4"/>
    <w:rsid w:val="008879C7"/>
    <w:rsid w:val="008F0FF3"/>
    <w:rsid w:val="0091405B"/>
    <w:rsid w:val="00930266"/>
    <w:rsid w:val="00970BA0"/>
    <w:rsid w:val="009D0E74"/>
    <w:rsid w:val="009D5CB7"/>
    <w:rsid w:val="00A21324"/>
    <w:rsid w:val="00A257F4"/>
    <w:rsid w:val="00A273EF"/>
    <w:rsid w:val="00A53E03"/>
    <w:rsid w:val="00A66792"/>
    <w:rsid w:val="00A826D1"/>
    <w:rsid w:val="00AF2F92"/>
    <w:rsid w:val="00B36FA3"/>
    <w:rsid w:val="00B704A7"/>
    <w:rsid w:val="00B775A1"/>
    <w:rsid w:val="00B8750A"/>
    <w:rsid w:val="00BB09BB"/>
    <w:rsid w:val="00C20688"/>
    <w:rsid w:val="00C23184"/>
    <w:rsid w:val="00C921F8"/>
    <w:rsid w:val="00CC6B77"/>
    <w:rsid w:val="00D36E03"/>
    <w:rsid w:val="00D73211"/>
    <w:rsid w:val="00D92D10"/>
    <w:rsid w:val="00D93586"/>
    <w:rsid w:val="00D96E9B"/>
    <w:rsid w:val="00DB7F3D"/>
    <w:rsid w:val="00DE1BCE"/>
    <w:rsid w:val="00E51C0C"/>
    <w:rsid w:val="00E62218"/>
    <w:rsid w:val="00E936BB"/>
    <w:rsid w:val="00EA1BE1"/>
    <w:rsid w:val="00ED0D25"/>
    <w:rsid w:val="00F218C9"/>
    <w:rsid w:val="00F27ED6"/>
    <w:rsid w:val="00FA2031"/>
    <w:rsid w:val="00FA3675"/>
    <w:rsid w:val="00FB1613"/>
    <w:rsid w:val="00FD36D2"/>
    <w:rsid w:val="00FD7B55"/>
    <w:rsid w:val="00FE57E1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0B312"/>
  <w15:docId w15:val="{F8A453A8-4BDB-4B78-BC62-0DC644D1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75"/>
      </w:tabs>
      <w:outlineLvl w:val="1"/>
    </w:pPr>
    <w:rPr>
      <w:i/>
      <w:i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175"/>
      </w:tabs>
    </w:pPr>
    <w:rPr>
      <w:snapToGrid w:val="0"/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sid w:val="003C2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3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84"/>
  </w:style>
  <w:style w:type="paragraph" w:styleId="Footer">
    <w:name w:val="footer"/>
    <w:basedOn w:val="Normal"/>
    <w:link w:val="FooterChar"/>
    <w:uiPriority w:val="99"/>
    <w:rsid w:val="00C23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Compliance Officer Job Description</vt:lpstr>
    </vt:vector>
  </TitlesOfParts>
  <Company>Wright Express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Compliance Officer Job Description</dc:title>
  <dc:creator>Donna Talaber</dc:creator>
  <cp:lastModifiedBy>Cindy Woodling</cp:lastModifiedBy>
  <cp:revision>6</cp:revision>
  <cp:lastPrinted>2007-12-04T20:04:00Z</cp:lastPrinted>
  <dcterms:created xsi:type="dcterms:W3CDTF">2015-03-27T16:30:00Z</dcterms:created>
  <dcterms:modified xsi:type="dcterms:W3CDTF">2018-09-11T15:28:00Z</dcterms:modified>
</cp:coreProperties>
</file>