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2C" w:rsidRDefault="008326EC" w:rsidP="008C232C">
      <w:pPr>
        <w:spacing w:after="0" w:line="240" w:lineRule="auto"/>
        <w:jc w:val="center"/>
        <w:rPr>
          <w:rFonts w:ascii="Times New Roman" w:eastAsia="Times New Roman" w:hAnsi="Times New Roman" w:cs="Times New Roman"/>
          <w:b/>
          <w:sz w:val="24"/>
          <w:szCs w:val="24"/>
        </w:rPr>
      </w:pPr>
      <w:bookmarkStart w:id="0" w:name="_GoBack"/>
      <w:r w:rsidRPr="008C232C">
        <w:rPr>
          <w:rFonts w:ascii="Times New Roman" w:eastAsia="Times New Roman" w:hAnsi="Times New Roman" w:cs="Times New Roman"/>
          <w:b/>
          <w:noProof/>
          <w:color w:val="0000FF"/>
          <w:sz w:val="24"/>
          <w:szCs w:val="24"/>
        </w:rPr>
        <w:drawing>
          <wp:inline distT="0" distB="0" distL="0" distR="0">
            <wp:extent cx="9525" cy="9525"/>
            <wp:effectExtent l="0" t="0" r="0" b="0"/>
            <wp:docPr id="3" name="Picture 1" descr="Lakeland Community College logo" title="Decorative">
              <a:hlinkClick xmlns:a="http://schemas.openxmlformats.org/drawingml/2006/main" r:id="rId5" tooltip="&quot;Limesurvey - The free open source survey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mesurvey.org/images/blank.png">
                      <a:hlinkClick r:id="rId5" tooltip="&quot;Limesurvey - The free open source survey too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sidR="008C232C" w:rsidRPr="008C23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C232C" w:rsidRPr="008C232C">
        <w:rPr>
          <w:noProof/>
        </w:rPr>
        <w:drawing>
          <wp:inline distT="0" distB="0" distL="0" distR="0">
            <wp:extent cx="1720462" cy="628650"/>
            <wp:effectExtent l="0" t="0" r="0" b="0"/>
            <wp:docPr id="2" name="Picture 2" descr="Lakeland Community Colleg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san4\Desktop\Ambreen\Gift card Image\Lakeland_logo_CURRENT_AS_OF_FEB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91" cy="632534"/>
                    </a:xfrm>
                    <a:prstGeom prst="rect">
                      <a:avLst/>
                    </a:prstGeom>
                    <a:noFill/>
                    <a:ln>
                      <a:noFill/>
                    </a:ln>
                  </pic:spPr>
                </pic:pic>
              </a:graphicData>
            </a:graphic>
          </wp:inline>
        </w:drawing>
      </w:r>
    </w:p>
    <w:p w:rsidR="005C69DC" w:rsidRDefault="005C69DC" w:rsidP="008C232C">
      <w:pPr>
        <w:spacing w:after="0" w:line="240" w:lineRule="auto"/>
        <w:jc w:val="center"/>
        <w:rPr>
          <w:rFonts w:ascii="Times New Roman" w:eastAsia="Times New Roman" w:hAnsi="Times New Roman" w:cs="Times New Roman"/>
          <w:b/>
          <w:sz w:val="24"/>
          <w:szCs w:val="24"/>
        </w:rPr>
      </w:pPr>
    </w:p>
    <w:p w:rsidR="00B67E72" w:rsidRPr="008C232C" w:rsidRDefault="00B67E72"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Faculty Challenge Grant</w:t>
      </w:r>
    </w:p>
    <w:p w:rsidR="00B67E72" w:rsidRPr="008C232C" w:rsidRDefault="00B67E72"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Non Destructive Testing (NDT) Lecture</w:t>
      </w:r>
      <w:r w:rsidR="001311C8" w:rsidRPr="008C232C">
        <w:rPr>
          <w:rFonts w:ascii="Times New Roman" w:eastAsia="Times New Roman" w:hAnsi="Times New Roman" w:cs="Times New Roman"/>
          <w:b/>
          <w:sz w:val="24"/>
          <w:szCs w:val="24"/>
        </w:rPr>
        <w:t xml:space="preserve"> Pre</w:t>
      </w:r>
      <w:r w:rsidRPr="008C232C">
        <w:rPr>
          <w:rFonts w:ascii="Times New Roman" w:eastAsia="Times New Roman" w:hAnsi="Times New Roman" w:cs="Times New Roman"/>
          <w:b/>
          <w:sz w:val="24"/>
          <w:szCs w:val="24"/>
        </w:rPr>
        <w:t xml:space="preserve"> Test</w:t>
      </w:r>
    </w:p>
    <w:p w:rsidR="00B67E72" w:rsidRPr="00BB773C" w:rsidRDefault="00B67E72" w:rsidP="00B67E72">
      <w:pPr>
        <w:spacing w:after="0" w:line="240" w:lineRule="auto"/>
        <w:rPr>
          <w:rFonts w:ascii="Times New Roman" w:eastAsia="Times New Roman" w:hAnsi="Times New Roman" w:cs="Times New Roman"/>
          <w:b/>
          <w:bCs/>
          <w:sz w:val="24"/>
          <w:szCs w:val="24"/>
        </w:rPr>
      </w:pPr>
    </w:p>
    <w:p w:rsidR="00B67E72" w:rsidRDefault="00B67E72" w:rsidP="00B67E72">
      <w:pPr>
        <w:spacing w:after="0" w:line="240" w:lineRule="auto"/>
        <w:rPr>
          <w:rFonts w:ascii="Times New Roman" w:eastAsia="Times New Roman" w:hAnsi="Times New Roman" w:cs="Times New Roman"/>
          <w:color w:val="000000"/>
          <w:sz w:val="24"/>
          <w:szCs w:val="24"/>
        </w:rPr>
      </w:pPr>
      <w:r w:rsidRPr="00BB773C">
        <w:rPr>
          <w:rFonts w:ascii="Times New Roman" w:eastAsia="Times New Roman" w:hAnsi="Times New Roman" w:cs="Times New Roman"/>
          <w:color w:val="000000"/>
          <w:sz w:val="24"/>
          <w:szCs w:val="24"/>
        </w:rPr>
        <w:t>The objective of this evaluation is to assess</w:t>
      </w:r>
      <w:r w:rsidR="001311C8">
        <w:rPr>
          <w:rFonts w:ascii="Times New Roman" w:eastAsia="Times New Roman" w:hAnsi="Times New Roman" w:cs="Times New Roman"/>
          <w:color w:val="000000"/>
          <w:sz w:val="24"/>
          <w:szCs w:val="24"/>
        </w:rPr>
        <w:t xml:space="preserve"> your understanding of NDT prior to the lecture.</w:t>
      </w:r>
      <w:r w:rsidRPr="00BB773C">
        <w:rPr>
          <w:rFonts w:ascii="Times New Roman" w:eastAsia="Times New Roman" w:hAnsi="Times New Roman" w:cs="Times New Roman"/>
          <w:color w:val="000000"/>
          <w:sz w:val="24"/>
          <w:szCs w:val="24"/>
        </w:rPr>
        <w:t> Your feedback is very valuable and beneficial for the future development</w:t>
      </w:r>
      <w:r w:rsidR="00161321">
        <w:rPr>
          <w:rFonts w:ascii="Times New Roman" w:eastAsia="Times New Roman" w:hAnsi="Times New Roman" w:cs="Times New Roman"/>
          <w:color w:val="000000"/>
          <w:sz w:val="24"/>
          <w:szCs w:val="24"/>
        </w:rPr>
        <w:t xml:space="preserve"> of Industrial Welding Curriculum. T</w:t>
      </w:r>
      <w:r w:rsidRPr="00BB773C">
        <w:rPr>
          <w:rFonts w:ascii="Times New Roman" w:eastAsia="Times New Roman" w:hAnsi="Times New Roman" w:cs="Times New Roman"/>
          <w:color w:val="000000"/>
          <w:sz w:val="24"/>
          <w:szCs w:val="24"/>
        </w:rPr>
        <w:t>hank you in advance for your time.</w:t>
      </w:r>
    </w:p>
    <w:p w:rsidR="00B67E72" w:rsidRPr="00BB773C" w:rsidRDefault="00B67E72" w:rsidP="00B67E72">
      <w:pPr>
        <w:spacing w:after="0" w:line="240" w:lineRule="auto"/>
        <w:rPr>
          <w:rFonts w:ascii="Times New Roman" w:eastAsia="Times New Roman" w:hAnsi="Times New Roman" w:cs="Times New Roman"/>
          <w:sz w:val="24"/>
          <w:szCs w:val="24"/>
        </w:rPr>
      </w:pPr>
    </w:p>
    <w:p w:rsidR="00B67E72" w:rsidRDefault="00161321" w:rsidP="00B67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 note on privacy</w:t>
      </w:r>
      <w:r w:rsidR="0024472B">
        <w:rPr>
          <w:rFonts w:ascii="Times New Roman" w:eastAsia="Times New Roman" w:hAnsi="Times New Roman" w:cs="Times New Roman"/>
          <w:b/>
          <w:bCs/>
          <w:i/>
          <w:iCs/>
          <w:sz w:val="24"/>
          <w:szCs w:val="24"/>
        </w:rPr>
        <w:t xml:space="preserve">: </w:t>
      </w:r>
      <w:r w:rsidR="00B67E72" w:rsidRPr="00BB773C">
        <w:rPr>
          <w:rFonts w:ascii="Times New Roman" w:eastAsia="Times New Roman" w:hAnsi="Times New Roman" w:cs="Times New Roman"/>
          <w:sz w:val="24"/>
          <w:szCs w:val="24"/>
        </w:rPr>
        <w:br/>
        <w:t>This survey is anonymous.</w:t>
      </w:r>
      <w:r w:rsidR="00B67E72">
        <w:rPr>
          <w:rFonts w:ascii="Times New Roman" w:eastAsia="Times New Roman" w:hAnsi="Times New Roman" w:cs="Times New Roman"/>
          <w:sz w:val="24"/>
          <w:szCs w:val="24"/>
        </w:rPr>
        <w:t xml:space="preserve">  </w:t>
      </w:r>
      <w:r w:rsidR="00B67E72" w:rsidRPr="00BB773C">
        <w:rPr>
          <w:rFonts w:ascii="Times New Roman" w:eastAsia="Times New Roman" w:hAnsi="Times New Roman" w:cs="Times New Roman"/>
          <w:sz w:val="24"/>
          <w:szCs w:val="24"/>
        </w:rPr>
        <w:t>The record kept of your survey responses does not contain any identifying information about you</w:t>
      </w:r>
      <w:r>
        <w:rPr>
          <w:rFonts w:ascii="Times New Roman" w:eastAsia="Times New Roman" w:hAnsi="Times New Roman" w:cs="Times New Roman"/>
          <w:sz w:val="24"/>
          <w:szCs w:val="24"/>
        </w:rPr>
        <w:t>.</w:t>
      </w:r>
      <w:r w:rsidR="00B67E72" w:rsidRPr="00BB773C">
        <w:rPr>
          <w:rFonts w:ascii="Times New Roman" w:eastAsia="Times New Roman" w:hAnsi="Times New Roman" w:cs="Times New Roman"/>
          <w:sz w:val="24"/>
          <w:szCs w:val="24"/>
        </w:rPr>
        <w:t xml:space="preserve"> </w:t>
      </w:r>
    </w:p>
    <w:p w:rsidR="00E44C06" w:rsidRDefault="00E44C06" w:rsidP="00B67E72">
      <w:pPr>
        <w:spacing w:after="0" w:line="240" w:lineRule="auto"/>
        <w:rPr>
          <w:rFonts w:ascii="Times New Roman" w:eastAsia="Times New Roman" w:hAnsi="Times New Roman" w:cs="Times New Roman"/>
          <w:sz w:val="24"/>
          <w:szCs w:val="24"/>
        </w:rPr>
      </w:pPr>
    </w:p>
    <w:p w:rsidR="00E44C06" w:rsidRPr="00E44C06" w:rsidRDefault="00E44C06" w:rsidP="00E44C06">
      <w:pPr>
        <w:spacing w:after="0" w:line="240" w:lineRule="auto"/>
        <w:rPr>
          <w:rFonts w:ascii="Times New Roman" w:eastAsia="Times New Roman" w:hAnsi="Times New Roman" w:cs="Times New Roman"/>
          <w:b/>
          <w:sz w:val="24"/>
          <w:szCs w:val="24"/>
        </w:rPr>
      </w:pPr>
      <w:r w:rsidRPr="00E44C06">
        <w:rPr>
          <w:rFonts w:ascii="Times New Roman" w:eastAsia="Times New Roman" w:hAnsi="Times New Roman" w:cs="Times New Roman"/>
          <w:b/>
          <w:sz w:val="24"/>
          <w:szCs w:val="24"/>
        </w:rPr>
        <w:t>Q1. Have you heard the NDT guest lecturer previously</w:t>
      </w:r>
      <w:r w:rsidRPr="00E44C06">
        <w:rPr>
          <w:rFonts w:ascii="Times New Roman" w:eastAsia="Times New Roman" w:hAnsi="Times New Roman" w:cs="Times New Roman"/>
          <w:b/>
          <w:sz w:val="24"/>
          <w:szCs w:val="24"/>
        </w:rPr>
        <w:tab/>
        <w:t>______ YES</w:t>
      </w:r>
      <w:r w:rsidRPr="00E44C06">
        <w:rPr>
          <w:rFonts w:ascii="Times New Roman" w:eastAsia="Times New Roman" w:hAnsi="Times New Roman" w:cs="Times New Roman"/>
          <w:b/>
          <w:sz w:val="24"/>
          <w:szCs w:val="24"/>
        </w:rPr>
        <w:tab/>
      </w:r>
      <w:r w:rsidRPr="00E44C06">
        <w:rPr>
          <w:rFonts w:ascii="Times New Roman" w:eastAsia="Times New Roman" w:hAnsi="Times New Roman" w:cs="Times New Roman"/>
          <w:b/>
          <w:sz w:val="24"/>
          <w:szCs w:val="24"/>
        </w:rPr>
        <w:tab/>
        <w:t>______ NO</w:t>
      </w:r>
    </w:p>
    <w:p w:rsidR="00E44C06" w:rsidRDefault="00E44C06" w:rsidP="00B67E72">
      <w:pPr>
        <w:spacing w:after="0" w:line="240" w:lineRule="auto"/>
        <w:rPr>
          <w:rFonts w:ascii="Times New Roman" w:eastAsia="Times New Roman" w:hAnsi="Times New Roman" w:cs="Times New Roman"/>
          <w:sz w:val="24"/>
          <w:szCs w:val="24"/>
        </w:rPr>
      </w:pPr>
    </w:p>
    <w:p w:rsidR="00B67E72" w:rsidRDefault="00B67E72" w:rsidP="00B67E72">
      <w:pPr>
        <w:spacing w:after="0" w:line="240" w:lineRule="auto"/>
        <w:rPr>
          <w:rFonts w:ascii="Times New Roman" w:eastAsia="Times New Roman" w:hAnsi="Times New Roman" w:cs="Times New Roman"/>
          <w:sz w:val="24"/>
          <w:szCs w:val="24"/>
        </w:rPr>
      </w:pPr>
    </w:p>
    <w:p w:rsidR="00B67E72" w:rsidRPr="00B67E72" w:rsidRDefault="00E44C06" w:rsidP="00B67E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Q2</w:t>
      </w:r>
      <w:r w:rsidR="004232BD" w:rsidRPr="0024472B">
        <w:rPr>
          <w:rFonts w:ascii="Times New Roman" w:eastAsia="Times New Roman" w:hAnsi="Times New Roman" w:cs="Times New Roman"/>
          <w:b/>
          <w:sz w:val="24"/>
          <w:szCs w:val="24"/>
        </w:rPr>
        <w:t xml:space="preserve">. </w:t>
      </w:r>
      <w:r w:rsidR="004232BD" w:rsidRPr="0024472B">
        <w:rPr>
          <w:rFonts w:ascii="Times New Roman" w:hAnsi="Times New Roman" w:cs="Times New Roman"/>
          <w:b/>
          <w:sz w:val="24"/>
          <w:szCs w:val="24"/>
        </w:rPr>
        <w:t>Please indicate your level of agreement with the statements below:</w:t>
      </w:r>
    </w:p>
    <w:tbl>
      <w:tblPr>
        <w:tblStyle w:val="TableGrid"/>
        <w:tblW w:w="5000" w:type="pct"/>
        <w:tblLook w:val="04A0" w:firstRow="1" w:lastRow="0" w:firstColumn="1" w:lastColumn="0" w:noHBand="0" w:noVBand="1"/>
      </w:tblPr>
      <w:tblGrid>
        <w:gridCol w:w="4861"/>
        <w:gridCol w:w="1099"/>
        <w:gridCol w:w="1176"/>
        <w:gridCol w:w="1014"/>
        <w:gridCol w:w="1109"/>
        <w:gridCol w:w="1109"/>
      </w:tblGrid>
      <w:tr w:rsidR="008C232C" w:rsidTr="004232BD">
        <w:trPr>
          <w:trHeight w:val="395"/>
        </w:trPr>
        <w:tc>
          <w:tcPr>
            <w:tcW w:w="2344" w:type="pct"/>
            <w:tcBorders>
              <w:top w:val="nil"/>
              <w:left w:val="nil"/>
              <w:bottom w:val="single" w:sz="4" w:space="0" w:color="auto"/>
              <w:right w:val="nil"/>
            </w:tcBorders>
          </w:tcPr>
          <w:p w:rsidR="008C232C" w:rsidRDefault="008C232C" w:rsidP="001311C8">
            <w:pPr>
              <w:spacing w:after="0" w:line="240" w:lineRule="auto"/>
              <w:rPr>
                <w:rFonts w:ascii="Times New Roman" w:eastAsia="Times New Roman" w:hAnsi="Times New Roman" w:cs="Times New Roman"/>
                <w:sz w:val="24"/>
                <w:szCs w:val="24"/>
              </w:rPr>
            </w:pPr>
          </w:p>
        </w:tc>
        <w:tc>
          <w:tcPr>
            <w:tcW w:w="530" w:type="pct"/>
            <w:tcBorders>
              <w:top w:val="nil"/>
              <w:left w:val="nil"/>
              <w:bottom w:val="single" w:sz="4" w:space="0" w:color="auto"/>
              <w:right w:val="nil"/>
            </w:tcBorders>
            <w:vAlign w:val="center"/>
          </w:tcPr>
          <w:p w:rsidR="008C232C" w:rsidRPr="008C232C" w:rsidRDefault="008C232C"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Strongly Agree</w:t>
            </w:r>
          </w:p>
        </w:tc>
        <w:tc>
          <w:tcPr>
            <w:tcW w:w="567" w:type="pct"/>
            <w:tcBorders>
              <w:top w:val="nil"/>
              <w:left w:val="nil"/>
              <w:bottom w:val="single" w:sz="4" w:space="0" w:color="auto"/>
              <w:right w:val="nil"/>
            </w:tcBorders>
            <w:vAlign w:val="center"/>
          </w:tcPr>
          <w:p w:rsidR="008C232C" w:rsidRPr="008C232C" w:rsidRDefault="008C232C"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Agree</w:t>
            </w:r>
          </w:p>
        </w:tc>
        <w:tc>
          <w:tcPr>
            <w:tcW w:w="489" w:type="pct"/>
            <w:tcBorders>
              <w:top w:val="nil"/>
              <w:left w:val="nil"/>
              <w:bottom w:val="single" w:sz="4" w:space="0" w:color="auto"/>
              <w:right w:val="nil"/>
            </w:tcBorders>
            <w:vAlign w:val="center"/>
          </w:tcPr>
          <w:p w:rsidR="008C232C" w:rsidRPr="008C232C" w:rsidRDefault="008C232C"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Neutral</w:t>
            </w:r>
          </w:p>
        </w:tc>
        <w:tc>
          <w:tcPr>
            <w:tcW w:w="535" w:type="pct"/>
            <w:tcBorders>
              <w:top w:val="nil"/>
              <w:left w:val="nil"/>
              <w:bottom w:val="single" w:sz="4" w:space="0" w:color="auto"/>
              <w:right w:val="nil"/>
            </w:tcBorders>
            <w:vAlign w:val="center"/>
          </w:tcPr>
          <w:p w:rsidR="008C232C" w:rsidRPr="008C232C" w:rsidRDefault="008C232C"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Disagree</w:t>
            </w:r>
          </w:p>
        </w:tc>
        <w:tc>
          <w:tcPr>
            <w:tcW w:w="535" w:type="pct"/>
            <w:tcBorders>
              <w:top w:val="nil"/>
              <w:left w:val="nil"/>
              <w:bottom w:val="single" w:sz="4" w:space="0" w:color="auto"/>
              <w:right w:val="nil"/>
            </w:tcBorders>
            <w:vAlign w:val="center"/>
          </w:tcPr>
          <w:p w:rsidR="008C232C" w:rsidRPr="008C232C" w:rsidRDefault="008C232C" w:rsidP="008C232C">
            <w:pPr>
              <w:spacing w:after="0" w:line="240" w:lineRule="auto"/>
              <w:jc w:val="center"/>
              <w:rPr>
                <w:rFonts w:ascii="Times New Roman" w:eastAsia="Times New Roman" w:hAnsi="Times New Roman" w:cs="Times New Roman"/>
                <w:b/>
                <w:sz w:val="24"/>
                <w:szCs w:val="24"/>
              </w:rPr>
            </w:pPr>
            <w:r w:rsidRPr="008C232C">
              <w:rPr>
                <w:rFonts w:ascii="Times New Roman" w:eastAsia="Times New Roman" w:hAnsi="Times New Roman" w:cs="Times New Roman"/>
                <w:b/>
                <w:sz w:val="24"/>
                <w:szCs w:val="24"/>
              </w:rPr>
              <w:t>Strongly Disagree</w:t>
            </w:r>
          </w:p>
        </w:tc>
      </w:tr>
      <w:tr w:rsidR="00B67E72" w:rsidTr="004232BD">
        <w:trPr>
          <w:trHeight w:val="395"/>
        </w:trPr>
        <w:tc>
          <w:tcPr>
            <w:tcW w:w="2344" w:type="pct"/>
            <w:tcBorders>
              <w:top w:val="single" w:sz="4" w:space="0" w:color="auto"/>
            </w:tcBorders>
            <w:vAlign w:val="center"/>
          </w:tcPr>
          <w:p w:rsidR="00B67E72" w:rsidRDefault="001311C8" w:rsidP="008C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lecture on NDT content is</w:t>
            </w:r>
            <w:r w:rsidR="00D866E3">
              <w:rPr>
                <w:rFonts w:ascii="Times New Roman" w:eastAsia="Times New Roman" w:hAnsi="Times New Roman" w:cs="Times New Roman"/>
                <w:sz w:val="24"/>
                <w:szCs w:val="24"/>
              </w:rPr>
              <w:t xml:space="preserve"> relevant to my class.</w:t>
            </w:r>
          </w:p>
        </w:tc>
        <w:tc>
          <w:tcPr>
            <w:tcW w:w="530" w:type="pct"/>
            <w:tcBorders>
              <w:top w:val="single" w:sz="4" w:space="0" w:color="auto"/>
            </w:tcBorders>
            <w:vAlign w:val="center"/>
          </w:tcPr>
          <w:p w:rsidR="00B67E72" w:rsidRDefault="00B67E72" w:rsidP="008C232C">
            <w:pPr>
              <w:spacing w:after="0" w:line="240" w:lineRule="auto"/>
              <w:jc w:val="center"/>
              <w:rPr>
                <w:rFonts w:ascii="Times New Roman" w:eastAsia="Times New Roman" w:hAnsi="Times New Roman" w:cs="Times New Roman"/>
                <w:sz w:val="24"/>
                <w:szCs w:val="24"/>
              </w:rPr>
            </w:pPr>
          </w:p>
        </w:tc>
        <w:tc>
          <w:tcPr>
            <w:tcW w:w="567" w:type="pct"/>
            <w:tcBorders>
              <w:top w:val="single" w:sz="4" w:space="0" w:color="auto"/>
            </w:tcBorders>
            <w:vAlign w:val="center"/>
          </w:tcPr>
          <w:p w:rsidR="00B67E72" w:rsidRDefault="00B67E72" w:rsidP="008C232C">
            <w:pPr>
              <w:spacing w:after="0" w:line="240" w:lineRule="auto"/>
              <w:jc w:val="center"/>
              <w:rPr>
                <w:rFonts w:ascii="Times New Roman" w:eastAsia="Times New Roman" w:hAnsi="Times New Roman" w:cs="Times New Roman"/>
                <w:sz w:val="24"/>
                <w:szCs w:val="24"/>
              </w:rPr>
            </w:pPr>
          </w:p>
        </w:tc>
        <w:tc>
          <w:tcPr>
            <w:tcW w:w="489" w:type="pct"/>
            <w:tcBorders>
              <w:top w:val="single" w:sz="4" w:space="0" w:color="auto"/>
            </w:tcBorders>
            <w:vAlign w:val="center"/>
          </w:tcPr>
          <w:p w:rsidR="00B67E72" w:rsidRDefault="00B67E72" w:rsidP="008C232C">
            <w:pPr>
              <w:spacing w:after="0" w:line="240" w:lineRule="auto"/>
              <w:jc w:val="center"/>
              <w:rPr>
                <w:rFonts w:ascii="Times New Roman" w:eastAsia="Times New Roman" w:hAnsi="Times New Roman" w:cs="Times New Roman"/>
                <w:sz w:val="24"/>
                <w:szCs w:val="24"/>
              </w:rPr>
            </w:pPr>
          </w:p>
        </w:tc>
        <w:tc>
          <w:tcPr>
            <w:tcW w:w="535" w:type="pct"/>
            <w:tcBorders>
              <w:top w:val="single" w:sz="4" w:space="0" w:color="auto"/>
            </w:tcBorders>
            <w:vAlign w:val="center"/>
          </w:tcPr>
          <w:p w:rsidR="00B67E72" w:rsidRDefault="00B67E72" w:rsidP="008C232C">
            <w:pPr>
              <w:spacing w:after="0" w:line="240" w:lineRule="auto"/>
              <w:jc w:val="center"/>
              <w:rPr>
                <w:rFonts w:ascii="Times New Roman" w:eastAsia="Times New Roman" w:hAnsi="Times New Roman" w:cs="Times New Roman"/>
                <w:sz w:val="24"/>
                <w:szCs w:val="24"/>
              </w:rPr>
            </w:pPr>
          </w:p>
        </w:tc>
        <w:tc>
          <w:tcPr>
            <w:tcW w:w="535" w:type="pct"/>
            <w:tcBorders>
              <w:top w:val="single" w:sz="4" w:space="0" w:color="auto"/>
            </w:tcBorders>
            <w:vAlign w:val="center"/>
          </w:tcPr>
          <w:p w:rsidR="00B67E72" w:rsidRDefault="00B67E72" w:rsidP="008C232C">
            <w:pPr>
              <w:spacing w:after="0" w:line="240" w:lineRule="auto"/>
              <w:jc w:val="center"/>
              <w:rPr>
                <w:rFonts w:ascii="Times New Roman" w:eastAsia="Times New Roman" w:hAnsi="Times New Roman" w:cs="Times New Roman"/>
                <w:sz w:val="24"/>
                <w:szCs w:val="24"/>
              </w:rPr>
            </w:pPr>
          </w:p>
        </w:tc>
      </w:tr>
      <w:tr w:rsidR="009B6B09" w:rsidTr="004232BD">
        <w:trPr>
          <w:trHeight w:val="395"/>
        </w:trPr>
        <w:tc>
          <w:tcPr>
            <w:tcW w:w="2344" w:type="pct"/>
            <w:vAlign w:val="center"/>
          </w:tcPr>
          <w:p w:rsidR="009B6B09" w:rsidRDefault="009B6B09" w:rsidP="00FB5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FB577A">
              <w:rPr>
                <w:rFonts w:ascii="Times New Roman" w:eastAsia="Times New Roman" w:hAnsi="Times New Roman" w:cs="Times New Roman"/>
                <w:sz w:val="24"/>
                <w:szCs w:val="24"/>
              </w:rPr>
              <w:t>am familiar with NDT</w:t>
            </w:r>
          </w:p>
        </w:tc>
        <w:tc>
          <w:tcPr>
            <w:tcW w:w="530" w:type="pct"/>
            <w:vAlign w:val="center"/>
          </w:tcPr>
          <w:p w:rsidR="009B6B09" w:rsidRDefault="009B6B09" w:rsidP="008C232C">
            <w:pPr>
              <w:spacing w:after="0" w:line="240" w:lineRule="auto"/>
              <w:jc w:val="center"/>
              <w:rPr>
                <w:rFonts w:ascii="Times New Roman" w:eastAsia="Times New Roman" w:hAnsi="Times New Roman" w:cs="Times New Roman"/>
                <w:sz w:val="24"/>
                <w:szCs w:val="24"/>
              </w:rPr>
            </w:pPr>
          </w:p>
        </w:tc>
        <w:tc>
          <w:tcPr>
            <w:tcW w:w="567" w:type="pct"/>
            <w:vAlign w:val="center"/>
          </w:tcPr>
          <w:p w:rsidR="009B6B09" w:rsidRDefault="009B6B09" w:rsidP="008C232C">
            <w:pPr>
              <w:spacing w:after="0" w:line="240" w:lineRule="auto"/>
              <w:jc w:val="center"/>
              <w:rPr>
                <w:rFonts w:ascii="Times New Roman" w:eastAsia="Times New Roman" w:hAnsi="Times New Roman" w:cs="Times New Roman"/>
                <w:sz w:val="24"/>
                <w:szCs w:val="24"/>
              </w:rPr>
            </w:pPr>
          </w:p>
        </w:tc>
        <w:tc>
          <w:tcPr>
            <w:tcW w:w="489" w:type="pct"/>
            <w:vAlign w:val="center"/>
          </w:tcPr>
          <w:p w:rsidR="009B6B09" w:rsidRDefault="009B6B09"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9B6B09" w:rsidRDefault="009B6B09"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9B6B09" w:rsidRDefault="009B6B09" w:rsidP="008C232C">
            <w:pPr>
              <w:spacing w:after="0" w:line="240" w:lineRule="auto"/>
              <w:jc w:val="center"/>
              <w:rPr>
                <w:rFonts w:ascii="Times New Roman" w:eastAsia="Times New Roman" w:hAnsi="Times New Roman" w:cs="Times New Roman"/>
                <w:sz w:val="24"/>
                <w:szCs w:val="24"/>
              </w:rPr>
            </w:pPr>
          </w:p>
        </w:tc>
      </w:tr>
      <w:tr w:rsidR="00D866E3" w:rsidTr="004232BD">
        <w:trPr>
          <w:trHeight w:val="395"/>
        </w:trPr>
        <w:tc>
          <w:tcPr>
            <w:tcW w:w="2344" w:type="pct"/>
            <w:vAlign w:val="center"/>
          </w:tcPr>
          <w:p w:rsidR="00D866E3" w:rsidRDefault="00FB577A" w:rsidP="008C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general</w:t>
            </w:r>
            <w:r w:rsidR="001311C8">
              <w:rPr>
                <w:rFonts w:ascii="Times New Roman" w:eastAsia="Times New Roman" w:hAnsi="Times New Roman" w:cs="Times New Roman"/>
                <w:sz w:val="24"/>
                <w:szCs w:val="24"/>
              </w:rPr>
              <w:t xml:space="preserve"> understanding of the purpose of NDT</w:t>
            </w:r>
            <w:r w:rsidR="00423CCA">
              <w:rPr>
                <w:rFonts w:ascii="Times New Roman" w:eastAsia="Times New Roman" w:hAnsi="Times New Roman" w:cs="Times New Roman"/>
                <w:sz w:val="24"/>
                <w:szCs w:val="24"/>
              </w:rPr>
              <w:t>.</w:t>
            </w:r>
          </w:p>
        </w:tc>
        <w:tc>
          <w:tcPr>
            <w:tcW w:w="530"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67"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489"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r>
      <w:tr w:rsidR="00D866E3" w:rsidTr="004232BD">
        <w:trPr>
          <w:trHeight w:val="395"/>
        </w:trPr>
        <w:tc>
          <w:tcPr>
            <w:tcW w:w="2344" w:type="pct"/>
            <w:vAlign w:val="center"/>
          </w:tcPr>
          <w:p w:rsidR="00D866E3" w:rsidRDefault="00FB577A" w:rsidP="008C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general</w:t>
            </w:r>
            <w:r w:rsidR="001311C8">
              <w:rPr>
                <w:rFonts w:ascii="Times New Roman" w:eastAsia="Times New Roman" w:hAnsi="Times New Roman" w:cs="Times New Roman"/>
                <w:sz w:val="24"/>
                <w:szCs w:val="24"/>
              </w:rPr>
              <w:t xml:space="preserve"> understanding of the value of NDT</w:t>
            </w:r>
            <w:r w:rsidR="00D866E3">
              <w:rPr>
                <w:rFonts w:ascii="Times New Roman" w:eastAsia="Times New Roman" w:hAnsi="Times New Roman" w:cs="Times New Roman"/>
                <w:sz w:val="24"/>
                <w:szCs w:val="24"/>
              </w:rPr>
              <w:t>.</w:t>
            </w:r>
          </w:p>
        </w:tc>
        <w:tc>
          <w:tcPr>
            <w:tcW w:w="530"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67"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489"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c>
          <w:tcPr>
            <w:tcW w:w="535" w:type="pct"/>
            <w:vAlign w:val="center"/>
          </w:tcPr>
          <w:p w:rsidR="00D866E3" w:rsidRDefault="00D866E3" w:rsidP="008C232C">
            <w:pPr>
              <w:spacing w:after="0" w:line="240" w:lineRule="auto"/>
              <w:jc w:val="center"/>
              <w:rPr>
                <w:rFonts w:ascii="Times New Roman" w:eastAsia="Times New Roman" w:hAnsi="Times New Roman" w:cs="Times New Roman"/>
                <w:sz w:val="24"/>
                <w:szCs w:val="24"/>
              </w:rPr>
            </w:pPr>
          </w:p>
        </w:tc>
      </w:tr>
    </w:tbl>
    <w:p w:rsidR="00B67E72" w:rsidRDefault="00B67E72" w:rsidP="00B67E72">
      <w:pPr>
        <w:spacing w:after="0" w:line="240" w:lineRule="auto"/>
        <w:rPr>
          <w:rFonts w:ascii="Times New Roman" w:eastAsia="Times New Roman" w:hAnsi="Times New Roman" w:cs="Times New Roman"/>
          <w:sz w:val="24"/>
          <w:szCs w:val="24"/>
        </w:rPr>
      </w:pPr>
    </w:p>
    <w:p w:rsidR="00D866E3" w:rsidRDefault="00D866E3" w:rsidP="00B67E72">
      <w:pPr>
        <w:spacing w:after="0" w:line="240" w:lineRule="auto"/>
        <w:rPr>
          <w:rFonts w:ascii="Times New Roman" w:eastAsia="Times New Roman" w:hAnsi="Times New Roman" w:cs="Times New Roman"/>
          <w:sz w:val="24"/>
          <w:szCs w:val="24"/>
        </w:rPr>
      </w:pPr>
    </w:p>
    <w:p w:rsidR="00D866E3" w:rsidRDefault="00A05B50">
      <w:r>
        <w:t>Funding provided by the Lakeland Foundation</w:t>
      </w:r>
    </w:p>
    <w:p w:rsidR="00EB2C15" w:rsidRDefault="00EB2C15" w:rsidP="00EB2C15">
      <w:pPr>
        <w:rPr>
          <w:rFonts w:ascii="Helvetica" w:hAnsi="Helvetica" w:cs="Helvetica"/>
          <w:sz w:val="18"/>
          <w:szCs w:val="18"/>
        </w:rPr>
      </w:pPr>
      <w:r>
        <w:rPr>
          <w:rFonts w:ascii="Helvetica" w:hAnsi="Helvetica" w:cs="Helvetica"/>
          <w:sz w:val="18"/>
          <w:szCs w:val="18"/>
        </w:rPr>
        <w:t xml:space="preserve">This workforce product </w:t>
      </w:r>
      <w:proofErr w:type="gramStart"/>
      <w:r>
        <w:rPr>
          <w:rFonts w:ascii="Helvetica" w:hAnsi="Helvetica" w:cs="Helvetica"/>
          <w:sz w:val="18"/>
          <w:szCs w:val="18"/>
        </w:rPr>
        <w:t>was funded</w:t>
      </w:r>
      <w:proofErr w:type="gramEnd"/>
      <w:r>
        <w:rPr>
          <w:rFonts w:ascii="Helvetica" w:hAnsi="Helvetica" w:cs="Helvetica"/>
          <w:sz w:val="18"/>
          <w:szCs w:val="18"/>
        </w:rPr>
        <w:t xml:space="preserve"> by a grant awarded by the U.S. Department of Labor’s Employment and Training Administration. The product </w:t>
      </w:r>
      <w:proofErr w:type="gramStart"/>
      <w:r>
        <w:rPr>
          <w:rFonts w:ascii="Helvetica" w:hAnsi="Helvetica" w:cs="Helvetica"/>
          <w:sz w:val="18"/>
          <w:szCs w:val="18"/>
        </w:rPr>
        <w:t>was created</w:t>
      </w:r>
      <w:proofErr w:type="gramEnd"/>
      <w:r>
        <w:rPr>
          <w:rFonts w:ascii="Helvetica" w:hAnsi="Helvetica" w:cs="Helvetica"/>
          <w:sz w:val="18"/>
          <w:szCs w:val="18"/>
        </w:rPr>
        <w:t xml:space="preserve">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B2C15" w:rsidRDefault="00EB2C15" w:rsidP="00EB2C15">
      <w:pPr>
        <w:rPr>
          <w:rFonts w:ascii="Helvetica" w:hAnsi="Helvetica" w:cs="Helvetica"/>
          <w:sz w:val="18"/>
          <w:szCs w:val="18"/>
        </w:rPr>
      </w:pPr>
      <w:r>
        <w:rPr>
          <w:rFonts w:ascii="Helvetica" w:hAnsi="Helvetica" w:cs="Helvetica"/>
          <w:sz w:val="18"/>
          <w:szCs w:val="18"/>
        </w:rPr>
        <w:t>The course and services are available without regard to a participant’s race, color, religion, ancestry, age, handicap, sex, marital status or national origin. The number for TDD/TYY or relay services is 440-525-7006.</w:t>
      </w:r>
    </w:p>
    <w:p w:rsidR="00EB2C15" w:rsidRDefault="00EB2C15" w:rsidP="00EB2C15">
      <w:pPr>
        <w:numPr>
          <w:ilvl w:val="0"/>
          <w:numId w:val="1"/>
        </w:numPr>
        <w:spacing w:after="200" w:line="276" w:lineRule="auto"/>
        <w:contextualSpacing/>
        <w:rPr>
          <w:rFonts w:ascii="Calibri" w:eastAsiaTheme="minorEastAsia" w:hAnsi="Calibri"/>
          <w:sz w:val="24"/>
          <w:szCs w:val="24"/>
        </w:rPr>
      </w:pPr>
    </w:p>
    <w:p w:rsidR="00A05B50" w:rsidRDefault="00EB2C15" w:rsidP="0012173E">
      <w:pPr>
        <w:spacing w:after="100"/>
      </w:pPr>
      <w:r>
        <w:rPr>
          <w:rFonts w:eastAsiaTheme="minorEastAsia"/>
          <w:noProof/>
        </w:rPr>
        <w:drawing>
          <wp:inline distT="0" distB="0" distL="0" distR="0">
            <wp:extent cx="840105" cy="297815"/>
            <wp:effectExtent l="0" t="0" r="0" b="6985"/>
            <wp:docPr id="1" name="Picture 1" descr="https://i.creativecommons.org/l/by/3.0/88x31.png" title="Decorative Creative Commons logo"/>
            <wp:cNvGraphicFramePr/>
            <a:graphic xmlns:a="http://schemas.openxmlformats.org/drawingml/2006/main">
              <a:graphicData uri="http://schemas.openxmlformats.org/drawingml/2006/picture">
                <pic:pic xmlns:pic="http://schemas.openxmlformats.org/drawingml/2006/picture">
                  <pic:nvPicPr>
                    <pic:cNvPr id="3" name="Picture 3" descr="https://i.creativecommons.org/l/by/3.0/88x31.png" title="Decorative Creative Commons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rFonts w:eastAsiaTheme="minorEastAsia"/>
        </w:rPr>
        <w:t xml:space="preserve"> This work </w:t>
      </w:r>
      <w:proofErr w:type="gramStart"/>
      <w:r>
        <w:rPr>
          <w:rFonts w:eastAsiaTheme="minorEastAsia"/>
        </w:rPr>
        <w:t>is licensed</w:t>
      </w:r>
      <w:proofErr w:type="gramEnd"/>
      <w:r>
        <w:rPr>
          <w:rFonts w:eastAsiaTheme="minorEastAsia"/>
        </w:rPr>
        <w:t xml:space="preserve"> under the Creative Commons Attribution 4.0 International License. It </w:t>
      </w:r>
      <w:proofErr w:type="gramStart"/>
      <w:r>
        <w:rPr>
          <w:rFonts w:eastAsiaTheme="minorEastAsia"/>
        </w:rPr>
        <w:t>is attributed</w:t>
      </w:r>
      <w:proofErr w:type="gramEnd"/>
      <w:r>
        <w:rPr>
          <w:rFonts w:eastAsiaTheme="minorEastAsia"/>
        </w:rPr>
        <w:t xml:space="preserve"> to Ohio TechNet.  To view a copy of this license, visit </w:t>
      </w:r>
      <w:hyperlink r:id="rId9" w:history="1">
        <w:r>
          <w:rPr>
            <w:rStyle w:val="Hyperlink"/>
            <w:rFonts w:eastAsiaTheme="minorEastAsia"/>
          </w:rPr>
          <w:t>http://creativecommons.org/licenses/by/4.0/</w:t>
        </w:r>
      </w:hyperlink>
    </w:p>
    <w:p w:rsidR="00A05B50" w:rsidRDefault="00A05B50"/>
    <w:sectPr w:rsidR="00A05B50" w:rsidSect="00B67E72">
      <w:pgSz w:w="12240" w:h="15840"/>
      <w:pgMar w:top="1440" w:right="43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7C0"/>
    <w:multiLevelType w:val="hybridMultilevel"/>
    <w:tmpl w:val="568EE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72"/>
    <w:rsid w:val="00040AE3"/>
    <w:rsid w:val="0005453E"/>
    <w:rsid w:val="0012173E"/>
    <w:rsid w:val="001311C8"/>
    <w:rsid w:val="00161321"/>
    <w:rsid w:val="001A7873"/>
    <w:rsid w:val="0024472B"/>
    <w:rsid w:val="003A7444"/>
    <w:rsid w:val="004232BD"/>
    <w:rsid w:val="00423CCA"/>
    <w:rsid w:val="00432709"/>
    <w:rsid w:val="005C69DC"/>
    <w:rsid w:val="005F14CB"/>
    <w:rsid w:val="006B1780"/>
    <w:rsid w:val="008326EC"/>
    <w:rsid w:val="008C232C"/>
    <w:rsid w:val="009B6B09"/>
    <w:rsid w:val="00A05B50"/>
    <w:rsid w:val="00A50CCB"/>
    <w:rsid w:val="00B24785"/>
    <w:rsid w:val="00B67E72"/>
    <w:rsid w:val="00D866E3"/>
    <w:rsid w:val="00E44C06"/>
    <w:rsid w:val="00EB2C15"/>
    <w:rsid w:val="00F30E57"/>
    <w:rsid w:val="00FB577A"/>
    <w:rsid w:val="00F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E580"/>
  <w15:docId w15:val="{705470E3-59F2-47E8-A29B-D08B264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72"/>
    <w:rPr>
      <w:rFonts w:ascii="Tahoma" w:hAnsi="Tahoma" w:cs="Tahoma"/>
      <w:sz w:val="16"/>
      <w:szCs w:val="16"/>
    </w:rPr>
  </w:style>
  <w:style w:type="table" w:styleId="TableGrid">
    <w:name w:val="Table Grid"/>
    <w:basedOn w:val="TableNormal"/>
    <w:uiPriority w:val="59"/>
    <w:rsid w:val="00B6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5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4489">
      <w:bodyDiv w:val="1"/>
      <w:marLeft w:val="0"/>
      <w:marRight w:val="0"/>
      <w:marTop w:val="0"/>
      <w:marBottom w:val="0"/>
      <w:divBdr>
        <w:top w:val="none" w:sz="0" w:space="0" w:color="auto"/>
        <w:left w:val="none" w:sz="0" w:space="0" w:color="auto"/>
        <w:bottom w:val="none" w:sz="0" w:space="0" w:color="auto"/>
        <w:right w:val="none" w:sz="0" w:space="0" w:color="auto"/>
      </w:divBdr>
    </w:div>
    <w:div w:id="15048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limesurve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zation xmlns="580526c0-e069-4e83-8481-e4872e5d4731">5</Organization>
  </documentManagement>
</p:properties>
</file>

<file path=customXml/itemProps1.xml><?xml version="1.0" encoding="utf-8"?>
<ds:datastoreItem xmlns:ds="http://schemas.openxmlformats.org/officeDocument/2006/customXml" ds:itemID="{17FCFCCD-845D-40EE-8295-AB6901267D09}"/>
</file>

<file path=customXml/itemProps2.xml><?xml version="1.0" encoding="utf-8"?>
<ds:datastoreItem xmlns:ds="http://schemas.openxmlformats.org/officeDocument/2006/customXml" ds:itemID="{0049E7CE-A393-45C1-9FF3-3CB47EB555B5}"/>
</file>

<file path=customXml/itemProps3.xml><?xml version="1.0" encoding="utf-8"?>
<ds:datastoreItem xmlns:ds="http://schemas.openxmlformats.org/officeDocument/2006/customXml" ds:itemID="{8359B416-C8BB-43D5-92EF-DA21D438183F}"/>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Linn Gahr</cp:lastModifiedBy>
  <cp:revision>5</cp:revision>
  <cp:lastPrinted>2017-10-26T18:51:00Z</cp:lastPrinted>
  <dcterms:created xsi:type="dcterms:W3CDTF">2018-03-07T17:14:00Z</dcterms:created>
  <dcterms:modified xsi:type="dcterms:W3CDTF">2018-03-07T17:17:00Z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