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3B65" w:rsidRDefault="004B55CD">
      <w:pPr>
        <w:pStyle w:val="Title"/>
        <w:spacing w:line="240" w:lineRule="auto"/>
        <w:contextualSpacing w:val="0"/>
      </w:pPr>
      <w:bookmarkStart w:id="0" w:name="h.qhwa6y8uj7ox" w:colFirst="0" w:colLast="0"/>
      <w:bookmarkEnd w:id="0"/>
      <w:r>
        <w:rPr>
          <w:sz w:val="36"/>
          <w:szCs w:val="36"/>
        </w:rPr>
        <w:t>iLearn Campus Course Development Rubric for:</w:t>
      </w:r>
      <w:r>
        <w:t xml:space="preserve">       </w:t>
      </w:r>
      <w:r>
        <w:rPr>
          <w:rFonts w:ascii="Arial Unicode MS" w:eastAsia="Arial Unicode MS" w:hAnsi="Arial Unicode MS" w:cs="Arial Unicode MS"/>
          <w:sz w:val="20"/>
          <w:szCs w:val="20"/>
        </w:rPr>
        <w:t>✓</w:t>
      </w:r>
      <w:r>
        <w:rPr>
          <w:sz w:val="24"/>
          <w:szCs w:val="24"/>
        </w:rPr>
        <w:t xml:space="preserve">Course Review Checklist has been completed  </w:t>
      </w:r>
    </w:p>
    <w:p w:rsidR="00563B65" w:rsidRDefault="004B55CD">
      <w:r>
        <w:t>_</w:t>
      </w:r>
      <w:r>
        <w:rPr>
          <w:u w:val="single"/>
        </w:rPr>
        <w:t>ART 102__</w:t>
      </w:r>
      <w:r>
        <w:t>_______________________________________________________</w:t>
      </w:r>
      <w:r>
        <w:tab/>
        <w:t xml:space="preserve">        </w:t>
      </w:r>
      <w:r>
        <w:rPr>
          <w:rFonts w:ascii="Arial Unicode MS" w:eastAsia="Arial Unicode MS" w:hAnsi="Arial Unicode MS" w:cs="Arial Unicode MS"/>
          <w:sz w:val="36"/>
          <w:szCs w:val="36"/>
        </w:rPr>
        <w:t xml:space="preserve">► </w:t>
      </w:r>
      <w:r>
        <w:rPr>
          <w:rFonts w:ascii="Trebuchet MS" w:eastAsia="Trebuchet MS" w:hAnsi="Trebuchet MS" w:cs="Trebuchet MS"/>
          <w:sz w:val="24"/>
          <w:szCs w:val="24"/>
        </w:rPr>
        <w:t>Reviewed through checklist</w:t>
      </w:r>
    </w:p>
    <w:p w:rsidR="00563B65" w:rsidRDefault="00563B65"/>
    <w:p w:rsidR="00563B65" w:rsidRDefault="004B55CD">
      <w:r>
        <w:rPr>
          <w:b/>
        </w:rPr>
        <w:t>I.Course Overview and Introduction</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p>
    <w:tbl>
      <w:tblPr>
        <w:tblStyle w:val="a"/>
        <w:tblW w:w="1243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025"/>
        <w:gridCol w:w="1365"/>
        <w:gridCol w:w="3060"/>
        <w:gridCol w:w="2880"/>
        <w:gridCol w:w="1425"/>
        <w:gridCol w:w="1680"/>
      </w:tblGrid>
      <w:tr w:rsidR="00563B65">
        <w:tc>
          <w:tcPr>
            <w:tcW w:w="202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✓1.1 Instructions make clear how to get started and where to find various course components (Home pg. &amp; Course Info pg.)</w:t>
            </w:r>
          </w:p>
        </w:tc>
        <w:tc>
          <w:tcPr>
            <w:tcW w:w="136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✓1.2 Students are introduced to the purpose and structure of the course. (Course Info pg.)</w:t>
            </w:r>
          </w:p>
        </w:tc>
        <w:tc>
          <w:tcPr>
            <w:tcW w:w="3060" w:type="dxa"/>
            <w:tcMar>
              <w:top w:w="100" w:type="dxa"/>
              <w:left w:w="40" w:type="dxa"/>
              <w:bottom w:w="100" w:type="dxa"/>
              <w:right w:w="40" w:type="dxa"/>
            </w:tcMar>
            <w:vAlign w:val="bottom"/>
          </w:tcPr>
          <w:p w:rsidR="00563B65" w:rsidRDefault="004B55CD">
            <w:pPr>
              <w:jc w:val="both"/>
            </w:pPr>
            <w:r>
              <w:rPr>
                <w:rFonts w:ascii="Arial Unicode MS" w:eastAsia="Arial Unicode MS" w:hAnsi="Arial Unicode MS" w:cs="Arial Unicode MS"/>
                <w:sz w:val="20"/>
                <w:szCs w:val="20"/>
              </w:rPr>
              <w:t>✓1.3 Contact information is stated clearly. (Home pg.)</w:t>
            </w:r>
          </w:p>
        </w:tc>
        <w:tc>
          <w:tcPr>
            <w:tcW w:w="288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✓1.4 Course and/or institutional policies with which the student is expected to comply are clearly stated, or a link to current policies is provided. (Home pg.)</w:t>
            </w:r>
          </w:p>
        </w:tc>
        <w:tc>
          <w:tcPr>
            <w:tcW w:w="142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✓1.6 Technical requirements expected of the student are clearly stated. (Home pg. &amp; Course Info pg.)</w:t>
            </w:r>
          </w:p>
        </w:tc>
        <w:tc>
          <w:tcPr>
            <w:tcW w:w="1680" w:type="dxa"/>
            <w:tcMar>
              <w:top w:w="100" w:type="dxa"/>
              <w:left w:w="40" w:type="dxa"/>
              <w:bottom w:w="100" w:type="dxa"/>
              <w:right w:w="40" w:type="dxa"/>
            </w:tcMar>
            <w:vAlign w:val="bottom"/>
          </w:tcPr>
          <w:p w:rsidR="00563B65" w:rsidRDefault="004B55CD">
            <w:r>
              <w:rPr>
                <w:sz w:val="20"/>
                <w:szCs w:val="20"/>
              </w:rPr>
              <w:t>1.7 The Home page contains the welcome video</w:t>
            </w:r>
          </w:p>
        </w:tc>
      </w:tr>
    </w:tbl>
    <w:p w:rsidR="00563B65" w:rsidRDefault="00563B65">
      <w:pPr>
        <w:spacing w:line="240" w:lineRule="auto"/>
      </w:pPr>
    </w:p>
    <w:p w:rsidR="00563B65" w:rsidRDefault="00563B65"/>
    <w:p w:rsidR="00563B65" w:rsidRDefault="004B55CD">
      <w:r>
        <w:rPr>
          <w:b/>
        </w:rPr>
        <w:t>II. Outcomes</w:t>
      </w:r>
    </w:p>
    <w:tbl>
      <w:tblPr>
        <w:tblStyle w:val="a1"/>
        <w:tblW w:w="1335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725"/>
        <w:gridCol w:w="3075"/>
        <w:gridCol w:w="3330"/>
        <w:gridCol w:w="2760"/>
        <w:gridCol w:w="2460"/>
      </w:tblGrid>
      <w:tr w:rsidR="00563B65">
        <w:tc>
          <w:tcPr>
            <w:tcW w:w="172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✓2.1 Each course uses the approved COG.</w:t>
            </w:r>
          </w:p>
        </w:tc>
        <w:tc>
          <w:tcPr>
            <w:tcW w:w="307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✓2.2 The module outcomes are measurable and consistent with the course outcomes.</w:t>
            </w:r>
          </w:p>
        </w:tc>
        <w:tc>
          <w:tcPr>
            <w:tcW w:w="333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✓2.3 All course outcomes are the approved course outcomes from the COG.</w:t>
            </w:r>
          </w:p>
        </w:tc>
        <w:tc>
          <w:tcPr>
            <w:tcW w:w="276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✓2.4 Instructions to students on how to meet the course outcomes are adequate and stated clearly.</w:t>
            </w:r>
          </w:p>
        </w:tc>
        <w:tc>
          <w:tcPr>
            <w:tcW w:w="2460" w:type="dxa"/>
            <w:tcMar>
              <w:top w:w="100" w:type="dxa"/>
              <w:left w:w="40" w:type="dxa"/>
              <w:bottom w:w="100" w:type="dxa"/>
              <w:right w:w="40" w:type="dxa"/>
            </w:tcMar>
            <w:vAlign w:val="bottom"/>
          </w:tcPr>
          <w:p w:rsidR="00563B65" w:rsidRDefault="004B55CD">
            <w:pPr>
              <w:spacing w:line="240" w:lineRule="auto"/>
            </w:pPr>
            <w:r>
              <w:rPr>
                <w:rFonts w:ascii="Arial Unicode MS" w:eastAsia="Arial Unicode MS" w:hAnsi="Arial Unicode MS" w:cs="Arial Unicode MS"/>
                <w:sz w:val="36"/>
                <w:szCs w:val="36"/>
              </w:rPr>
              <w:t>►</w:t>
            </w:r>
            <w:r>
              <w:rPr>
                <w:sz w:val="20"/>
                <w:szCs w:val="20"/>
              </w:rPr>
              <w:t>2.5 The outcomes are appropriately designed for the level of the course.</w:t>
            </w:r>
          </w:p>
        </w:tc>
      </w:tr>
    </w:tbl>
    <w:p w:rsidR="00563B65" w:rsidRDefault="00563B65">
      <w:pPr>
        <w:spacing w:line="240" w:lineRule="auto"/>
      </w:pPr>
    </w:p>
    <w:tbl>
      <w:tblPr>
        <w:tblStyle w:val="a2"/>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tc>
      </w:tr>
    </w:tbl>
    <w:p w:rsidR="00563B65" w:rsidRDefault="00563B65"/>
    <w:p w:rsidR="00563B65" w:rsidRDefault="004B55CD">
      <w:r>
        <w:rPr>
          <w:b/>
        </w:rPr>
        <w:t>III. Assessment and Measurement</w:t>
      </w:r>
    </w:p>
    <w:tbl>
      <w:tblPr>
        <w:tblStyle w:val="a3"/>
        <w:tblW w:w="1390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390"/>
        <w:gridCol w:w="2205"/>
        <w:gridCol w:w="3300"/>
        <w:gridCol w:w="3015"/>
        <w:gridCol w:w="1995"/>
      </w:tblGrid>
      <w:tr w:rsidR="00563B65">
        <w:trPr>
          <w:trHeight w:val="1500"/>
        </w:trPr>
        <w:tc>
          <w:tcPr>
            <w:tcW w:w="3390" w:type="dxa"/>
            <w:tcMar>
              <w:top w:w="100" w:type="dxa"/>
              <w:left w:w="40" w:type="dxa"/>
              <w:bottom w:w="100" w:type="dxa"/>
              <w:right w:w="40" w:type="dxa"/>
            </w:tcMar>
            <w:vAlign w:val="bottom"/>
          </w:tcPr>
          <w:p w:rsidR="00563B65" w:rsidRDefault="004B55CD">
            <w:pPr>
              <w:spacing w:line="240" w:lineRule="auto"/>
            </w:pPr>
            <w:r>
              <w:rPr>
                <w:rFonts w:ascii="Arial Unicode MS" w:eastAsia="Arial Unicode MS" w:hAnsi="Arial Unicode MS" w:cs="Arial Unicode MS"/>
                <w:sz w:val="36"/>
                <w:szCs w:val="36"/>
              </w:rPr>
              <w:lastRenderedPageBreak/>
              <w:t>►</w:t>
            </w:r>
            <w:r>
              <w:rPr>
                <w:sz w:val="20"/>
                <w:szCs w:val="20"/>
              </w:rPr>
              <w:t>3.1 The types of assessments selected measure the stated outcomes and are consistent with course activities and resources.</w:t>
            </w:r>
          </w:p>
        </w:tc>
        <w:tc>
          <w:tcPr>
            <w:tcW w:w="220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✓3.2 The course grading policy is stated clearly and the iLearn Campus rubric model is followed. (Home Pg.)</w:t>
            </w:r>
          </w:p>
        </w:tc>
        <w:tc>
          <w:tcPr>
            <w:tcW w:w="3300" w:type="dxa"/>
            <w:tcMar>
              <w:top w:w="100" w:type="dxa"/>
              <w:left w:w="40" w:type="dxa"/>
              <w:bottom w:w="100" w:type="dxa"/>
              <w:right w:w="40" w:type="dxa"/>
            </w:tcMar>
            <w:vAlign w:val="bottom"/>
          </w:tcPr>
          <w:p w:rsidR="00563B65" w:rsidRDefault="004B55CD">
            <w:pPr>
              <w:spacing w:line="240" w:lineRule="auto"/>
            </w:pPr>
            <w:r>
              <w:rPr>
                <w:rFonts w:ascii="Arial Unicode MS" w:eastAsia="Arial Unicode MS" w:hAnsi="Arial Unicode MS" w:cs="Arial Unicode MS"/>
                <w:sz w:val="36"/>
                <w:szCs w:val="36"/>
              </w:rPr>
              <w:t>►</w:t>
            </w:r>
            <w:r>
              <w:rPr>
                <w:sz w:val="20"/>
                <w:szCs w:val="20"/>
              </w:rPr>
              <w:t>3.3 Specific and descriptive criteria are provided for the evaluation of students’ work and participation and are tied to the course grading policy.</w:t>
            </w:r>
          </w:p>
        </w:tc>
        <w:tc>
          <w:tcPr>
            <w:tcW w:w="301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✓3.4 The assessments selected are sequenced and appropriate to the student work being assessed.</w:t>
            </w:r>
          </w:p>
        </w:tc>
        <w:tc>
          <w:tcPr>
            <w:tcW w:w="199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✓3.5 Students have multiple opportunities to measure their own learning progress.</w:t>
            </w:r>
          </w:p>
        </w:tc>
      </w:tr>
    </w:tbl>
    <w:p w:rsidR="00563B65" w:rsidRDefault="00563B65">
      <w:pPr>
        <w:spacing w:line="240" w:lineRule="auto"/>
      </w:pPr>
    </w:p>
    <w:tbl>
      <w:tblPr>
        <w:tblStyle w:val="a4"/>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tc>
      </w:tr>
    </w:tbl>
    <w:p w:rsidR="00563B65" w:rsidRDefault="00563B65"/>
    <w:p w:rsidR="00563B65" w:rsidRDefault="004B55CD">
      <w:r>
        <w:rPr>
          <w:b/>
        </w:rPr>
        <w:t>IV. Resources and Materials</w:t>
      </w:r>
    </w:p>
    <w:tbl>
      <w:tblPr>
        <w:tblStyle w:val="a6"/>
        <w:tblW w:w="1303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05"/>
        <w:gridCol w:w="2910"/>
        <w:gridCol w:w="1875"/>
        <w:gridCol w:w="1200"/>
        <w:gridCol w:w="2070"/>
        <w:gridCol w:w="2175"/>
      </w:tblGrid>
      <w:tr w:rsidR="00563B65">
        <w:tc>
          <w:tcPr>
            <w:tcW w:w="280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✓4.1 The instructional materials contribute to the achievement of the stated course outcomes.</w:t>
            </w:r>
          </w:p>
        </w:tc>
        <w:tc>
          <w:tcPr>
            <w:tcW w:w="291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✓4.2 The purpose of instructional materials and how the materials are to be used for learning activities are clearly explained.  (Course Info pg.)</w:t>
            </w:r>
          </w:p>
        </w:tc>
        <w:tc>
          <w:tcPr>
            <w:tcW w:w="187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✓4.3 All resources and materials used in the course are appropriately cited.</w:t>
            </w:r>
          </w:p>
        </w:tc>
        <w:tc>
          <w:tcPr>
            <w:tcW w:w="120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✓4.4 The instructional materials are current.</w:t>
            </w:r>
          </w:p>
        </w:tc>
        <w:tc>
          <w:tcPr>
            <w:tcW w:w="207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✓4.5 The instructional materials present a variety of perspectives on the course content.</w:t>
            </w:r>
          </w:p>
        </w:tc>
        <w:tc>
          <w:tcPr>
            <w:tcW w:w="217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✓4.6 The distinction between required and optional materials is clearly explained.</w:t>
            </w:r>
          </w:p>
        </w:tc>
      </w:tr>
    </w:tbl>
    <w:p w:rsidR="00563B65" w:rsidRDefault="00563B65">
      <w:pPr>
        <w:spacing w:line="240" w:lineRule="auto"/>
      </w:pPr>
    </w:p>
    <w:tbl>
      <w:tblPr>
        <w:tblStyle w:val="a7"/>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p w:rsidR="00563B65" w:rsidRDefault="00563B65"/>
        </w:tc>
      </w:tr>
    </w:tbl>
    <w:p w:rsidR="00563B65" w:rsidRDefault="00563B65"/>
    <w:p w:rsidR="00563B65" w:rsidRDefault="004B55CD">
      <w:r>
        <w:rPr>
          <w:b/>
        </w:rPr>
        <w:t>V. Learner Engagement</w:t>
      </w:r>
    </w:p>
    <w:tbl>
      <w:tblPr>
        <w:tblStyle w:val="a8"/>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475"/>
        <w:gridCol w:w="2685"/>
        <w:gridCol w:w="3615"/>
        <w:gridCol w:w="2400"/>
        <w:gridCol w:w="2190"/>
        <w:gridCol w:w="1611"/>
      </w:tblGrid>
      <w:tr w:rsidR="00563B65">
        <w:tc>
          <w:tcPr>
            <w:tcW w:w="247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 xml:space="preserve">✓5.1 The learning activities promote the achievement of the </w:t>
            </w:r>
            <w:r>
              <w:rPr>
                <w:rFonts w:ascii="Arial Unicode MS" w:eastAsia="Arial Unicode MS" w:hAnsi="Arial Unicode MS" w:cs="Arial Unicode MS"/>
                <w:sz w:val="20"/>
                <w:szCs w:val="20"/>
              </w:rPr>
              <w:lastRenderedPageBreak/>
              <w:t>stated outcomes. (Due to the nature of design).</w:t>
            </w:r>
          </w:p>
        </w:tc>
        <w:tc>
          <w:tcPr>
            <w:tcW w:w="268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lastRenderedPageBreak/>
              <w:t xml:space="preserve">✓5.2 Learning activities provide opportunities for interaction that support </w:t>
            </w:r>
            <w:r>
              <w:rPr>
                <w:rFonts w:ascii="Arial Unicode MS" w:eastAsia="Arial Unicode MS" w:hAnsi="Arial Unicode MS" w:cs="Arial Unicode MS"/>
                <w:sz w:val="20"/>
                <w:szCs w:val="20"/>
              </w:rPr>
              <w:lastRenderedPageBreak/>
              <w:t>active learning.</w:t>
            </w:r>
          </w:p>
        </w:tc>
        <w:tc>
          <w:tcPr>
            <w:tcW w:w="361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lastRenderedPageBreak/>
              <w:t xml:space="preserve">✓5.3 The instructor’s plan for classroom response time and feedback on assignments is clearly </w:t>
            </w:r>
            <w:r>
              <w:rPr>
                <w:rFonts w:ascii="Arial Unicode MS" w:eastAsia="Arial Unicode MS" w:hAnsi="Arial Unicode MS" w:cs="Arial Unicode MS"/>
                <w:sz w:val="20"/>
                <w:szCs w:val="20"/>
              </w:rPr>
              <w:lastRenderedPageBreak/>
              <w:t>stated. (Home pg.)</w:t>
            </w:r>
          </w:p>
        </w:tc>
        <w:tc>
          <w:tcPr>
            <w:tcW w:w="240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lastRenderedPageBreak/>
              <w:t>✓5.4 The requirements for student interaction are clearly articulated.</w:t>
            </w:r>
          </w:p>
        </w:tc>
        <w:tc>
          <w:tcPr>
            <w:tcW w:w="219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 xml:space="preserve">✓5.5 Appropriately chunked for learner adopted pacing. (Due </w:t>
            </w:r>
            <w:r>
              <w:rPr>
                <w:rFonts w:ascii="Arial Unicode MS" w:eastAsia="Arial Unicode MS" w:hAnsi="Arial Unicode MS" w:cs="Arial Unicode MS"/>
                <w:sz w:val="20"/>
                <w:szCs w:val="20"/>
              </w:rPr>
              <w:lastRenderedPageBreak/>
              <w:t>to the nature of design).</w:t>
            </w:r>
          </w:p>
        </w:tc>
        <w:tc>
          <w:tcPr>
            <w:tcW w:w="1611"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lastRenderedPageBreak/>
              <w:t xml:space="preserve">✓5.6 At least one critical thinking activity </w:t>
            </w:r>
            <w:r>
              <w:rPr>
                <w:rFonts w:ascii="Arial Unicode MS" w:eastAsia="Arial Unicode MS" w:hAnsi="Arial Unicode MS" w:cs="Arial Unicode MS"/>
                <w:sz w:val="20"/>
                <w:szCs w:val="20"/>
              </w:rPr>
              <w:lastRenderedPageBreak/>
              <w:t>or assessment.</w:t>
            </w:r>
          </w:p>
        </w:tc>
      </w:tr>
    </w:tbl>
    <w:p w:rsidR="00563B65" w:rsidRDefault="00563B65">
      <w:pPr>
        <w:spacing w:line="240" w:lineRule="auto"/>
      </w:pPr>
    </w:p>
    <w:tbl>
      <w:tblPr>
        <w:tblStyle w:val="a9"/>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p w:rsidR="00563B65" w:rsidRDefault="00563B65"/>
        </w:tc>
      </w:tr>
    </w:tbl>
    <w:p w:rsidR="00563B65" w:rsidRDefault="00563B65"/>
    <w:p w:rsidR="00563B65" w:rsidRDefault="00563B65"/>
    <w:p w:rsidR="00563B65" w:rsidRDefault="004B55CD">
      <w:r>
        <w:rPr>
          <w:b/>
        </w:rPr>
        <w:t>VI. Course Technology</w:t>
      </w:r>
    </w:p>
    <w:tbl>
      <w:tblPr>
        <w:tblStyle w:val="aa"/>
        <w:tblW w:w="891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610"/>
        <w:gridCol w:w="2805"/>
        <w:gridCol w:w="2070"/>
        <w:gridCol w:w="1425"/>
      </w:tblGrid>
      <w:tr w:rsidR="00563B65">
        <w:tc>
          <w:tcPr>
            <w:tcW w:w="261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✓6.1 Course tools and media support student engagement and guide the student to become an active learner.</w:t>
            </w:r>
          </w:p>
        </w:tc>
        <w:tc>
          <w:tcPr>
            <w:tcW w:w="280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✓6.2 Navigation throughout the online components of the course is logical, consistent, and efficient.</w:t>
            </w:r>
          </w:p>
        </w:tc>
        <w:tc>
          <w:tcPr>
            <w:tcW w:w="2070" w:type="dxa"/>
            <w:tcMar>
              <w:top w:w="100" w:type="dxa"/>
              <w:left w:w="40" w:type="dxa"/>
              <w:bottom w:w="100" w:type="dxa"/>
              <w:right w:w="40" w:type="dxa"/>
            </w:tcMar>
            <w:vAlign w:val="bottom"/>
          </w:tcPr>
          <w:p w:rsidR="00563B65" w:rsidRDefault="004B55CD">
            <w:pPr>
              <w:spacing w:line="240" w:lineRule="auto"/>
            </w:pPr>
            <w:r>
              <w:rPr>
                <w:rFonts w:ascii="Arial Unicode MS" w:eastAsia="Arial Unicode MS" w:hAnsi="Arial Unicode MS" w:cs="Arial Unicode MS"/>
                <w:sz w:val="36"/>
                <w:szCs w:val="36"/>
              </w:rPr>
              <w:t>►</w:t>
            </w:r>
            <w:r>
              <w:rPr>
                <w:sz w:val="20"/>
                <w:szCs w:val="20"/>
              </w:rPr>
              <w:t>6.3 Students can readily access the technologies required in the course.</w:t>
            </w:r>
          </w:p>
        </w:tc>
        <w:tc>
          <w:tcPr>
            <w:tcW w:w="1425" w:type="dxa"/>
            <w:tcMar>
              <w:top w:w="100" w:type="dxa"/>
              <w:left w:w="40" w:type="dxa"/>
              <w:bottom w:w="100" w:type="dxa"/>
              <w:right w:w="40" w:type="dxa"/>
            </w:tcMar>
            <w:vAlign w:val="bottom"/>
          </w:tcPr>
          <w:p w:rsidR="00563B65" w:rsidRDefault="004B55CD">
            <w:pPr>
              <w:ind w:left="75"/>
            </w:pPr>
            <w:r>
              <w:rPr>
                <w:rFonts w:ascii="Arial Unicode MS" w:eastAsia="Arial Unicode MS" w:hAnsi="Arial Unicode MS" w:cs="Arial Unicode MS"/>
                <w:sz w:val="20"/>
                <w:szCs w:val="20"/>
              </w:rPr>
              <w:t>✓6.4 The course technologies are current.</w:t>
            </w:r>
          </w:p>
        </w:tc>
      </w:tr>
    </w:tbl>
    <w:p w:rsidR="00563B65" w:rsidRDefault="00563B65">
      <w:pPr>
        <w:spacing w:line="240" w:lineRule="auto"/>
      </w:pPr>
    </w:p>
    <w:tbl>
      <w:tblPr>
        <w:tblStyle w:val="ab"/>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p w:rsidR="00563B65" w:rsidRDefault="00563B65"/>
        </w:tc>
      </w:tr>
    </w:tbl>
    <w:p w:rsidR="00563B65" w:rsidRDefault="00563B65"/>
    <w:p w:rsidR="00563B65" w:rsidRDefault="004B55CD">
      <w:r>
        <w:rPr>
          <w:b/>
        </w:rPr>
        <w:t>VII. Learner Support</w:t>
      </w:r>
    </w:p>
    <w:tbl>
      <w:tblPr>
        <w:tblStyle w:val="ac"/>
        <w:tblW w:w="1387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105"/>
        <w:gridCol w:w="2190"/>
        <w:gridCol w:w="4590"/>
        <w:gridCol w:w="3990"/>
      </w:tblGrid>
      <w:tr w:rsidR="00563B65">
        <w:tc>
          <w:tcPr>
            <w:tcW w:w="310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✓7.1 The course instructions articulate or link to a clear description of the technical support offered and how to access it.  (On both Home pg. &amp; Course Info pg.).</w:t>
            </w:r>
          </w:p>
        </w:tc>
        <w:tc>
          <w:tcPr>
            <w:tcW w:w="219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✓7.2 Course instructions articulate or link to the institution’s accessibility policies and services.   (Home pg.)</w:t>
            </w:r>
          </w:p>
          <w:p w:rsidR="00563B65" w:rsidRDefault="00563B65"/>
        </w:tc>
        <w:tc>
          <w:tcPr>
            <w:tcW w:w="459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lastRenderedPageBreak/>
              <w:t>✓7.3 Course instructions articulate or link to an explanation of how the institution’s academic support services and resources can help students succeed in the course and how students can access the services.   (Home pg.)</w:t>
            </w:r>
          </w:p>
        </w:tc>
        <w:tc>
          <w:tcPr>
            <w:tcW w:w="399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✓7.4 Course instructions articulate or link to an explanation of how the institution’s student support services can help students succeed and how students can access the services.  (Home pg.)</w:t>
            </w:r>
          </w:p>
        </w:tc>
      </w:tr>
    </w:tbl>
    <w:p w:rsidR="00563B65" w:rsidRDefault="00563B65">
      <w:pPr>
        <w:spacing w:line="240" w:lineRule="auto"/>
      </w:pPr>
    </w:p>
    <w:tbl>
      <w:tblPr>
        <w:tblStyle w:val="ad"/>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563B65"/>
          <w:p w:rsidR="00563B65" w:rsidRDefault="00563B65"/>
          <w:p w:rsidR="00563B65" w:rsidRDefault="00563B65"/>
        </w:tc>
      </w:tr>
    </w:tbl>
    <w:p w:rsidR="00563B65" w:rsidRDefault="00563B65"/>
    <w:p w:rsidR="00563B65" w:rsidRDefault="004B55CD">
      <w:r>
        <w:rPr>
          <w:b/>
        </w:rPr>
        <w:t>VIII. Accessibility</w:t>
      </w:r>
    </w:p>
    <w:tbl>
      <w:tblPr>
        <w:tblStyle w:val="ae"/>
        <w:tblW w:w="1287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285"/>
        <w:gridCol w:w="2805"/>
        <w:gridCol w:w="3420"/>
        <w:gridCol w:w="3360"/>
      </w:tblGrid>
      <w:tr w:rsidR="00563B65">
        <w:tc>
          <w:tcPr>
            <w:tcW w:w="328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 xml:space="preserve">✓8.1 The course employs accessible technologies and provides guidance on how to obtain accommodation.  </w:t>
            </w:r>
          </w:p>
        </w:tc>
        <w:tc>
          <w:tcPr>
            <w:tcW w:w="2805"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✓8.2 The course contains equivalent alternatives to auditory and visual content.</w:t>
            </w:r>
          </w:p>
        </w:tc>
        <w:tc>
          <w:tcPr>
            <w:tcW w:w="342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✓8.3 The course design facilitates readability and minimizes distractions.</w:t>
            </w:r>
          </w:p>
        </w:tc>
        <w:tc>
          <w:tcPr>
            <w:tcW w:w="3360" w:type="dxa"/>
            <w:tcMar>
              <w:top w:w="100" w:type="dxa"/>
              <w:left w:w="40" w:type="dxa"/>
              <w:bottom w:w="100" w:type="dxa"/>
              <w:right w:w="40" w:type="dxa"/>
            </w:tcMar>
            <w:vAlign w:val="bottom"/>
          </w:tcPr>
          <w:p w:rsidR="00563B65" w:rsidRDefault="004B55CD">
            <w:r>
              <w:rPr>
                <w:rFonts w:ascii="Arial Unicode MS" w:eastAsia="Arial Unicode MS" w:hAnsi="Arial Unicode MS" w:cs="Arial Unicode MS"/>
                <w:sz w:val="20"/>
                <w:szCs w:val="20"/>
              </w:rPr>
              <w:t>✓8.4 The course design accommodates the use of assistive technologies.</w:t>
            </w:r>
          </w:p>
        </w:tc>
      </w:tr>
    </w:tbl>
    <w:p w:rsidR="00563B65" w:rsidRDefault="00563B65">
      <w:pPr>
        <w:spacing w:line="240" w:lineRule="auto"/>
      </w:pPr>
    </w:p>
    <w:tbl>
      <w:tblPr>
        <w:tblStyle w:val="af"/>
        <w:tblW w:w="1497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14976"/>
      </w:tblGrid>
      <w:tr w:rsidR="00563B65">
        <w:tc>
          <w:tcPr>
            <w:tcW w:w="14976" w:type="dxa"/>
            <w:tcMar>
              <w:top w:w="100" w:type="dxa"/>
              <w:left w:w="100" w:type="dxa"/>
              <w:bottom w:w="100" w:type="dxa"/>
              <w:right w:w="100" w:type="dxa"/>
            </w:tcMar>
          </w:tcPr>
          <w:p w:rsidR="00563B65" w:rsidRDefault="004B55CD">
            <w:r>
              <w:rPr>
                <w:sz w:val="20"/>
                <w:szCs w:val="20"/>
              </w:rPr>
              <w:t xml:space="preserve">Comments:  </w:t>
            </w:r>
          </w:p>
          <w:p w:rsidR="00563B65" w:rsidRDefault="004B55CD">
            <w:r>
              <w:rPr>
                <w:sz w:val="20"/>
                <w:szCs w:val="20"/>
              </w:rPr>
              <w:t>Alt text is supplied for graphics, design is structured to provide for screen reader ability, audio and visual alternatives are provided when appropriate, all links are descriptive in nature.</w:t>
            </w:r>
          </w:p>
          <w:p w:rsidR="00563B65" w:rsidRDefault="004B55CD">
            <w:r>
              <w:rPr>
                <w:color w:val="FF0000"/>
                <w:sz w:val="20"/>
                <w:szCs w:val="20"/>
              </w:rPr>
              <w:t>There is no alternative for vi</w:t>
            </w:r>
            <w:r w:rsidR="00F729FE">
              <w:rPr>
                <w:color w:val="FF0000"/>
                <w:sz w:val="20"/>
                <w:szCs w:val="20"/>
              </w:rPr>
              <w:t xml:space="preserve">sual images. </w:t>
            </w:r>
            <w:bookmarkStart w:id="1" w:name="_GoBack"/>
            <w:bookmarkEnd w:id="1"/>
            <w:r>
              <w:rPr>
                <w:color w:val="FF0000"/>
                <w:sz w:val="20"/>
                <w:szCs w:val="20"/>
              </w:rPr>
              <w:t>.</w:t>
            </w:r>
          </w:p>
        </w:tc>
      </w:tr>
    </w:tbl>
    <w:p w:rsidR="00563B65" w:rsidRDefault="004B55CD">
      <w:r>
        <w:rPr>
          <w:sz w:val="36"/>
          <w:szCs w:val="36"/>
        </w:rPr>
        <w:t xml:space="preserve">X </w:t>
      </w:r>
      <w:r>
        <w:rPr>
          <w:sz w:val="24"/>
          <w:szCs w:val="24"/>
        </w:rPr>
        <w:t>This course is ready to offer in the LB iLearn Campus</w:t>
      </w:r>
    </w:p>
    <w:p w:rsidR="00563B65" w:rsidRDefault="00563B65"/>
    <w:p w:rsidR="00563B65" w:rsidRDefault="00563B65"/>
    <w:p w:rsidR="00563B65" w:rsidRDefault="004B55CD">
      <w:r>
        <w:rPr>
          <w:u w:val="single"/>
        </w:rPr>
        <w:t>Linda Carroll and Stacy Mallory</w:t>
      </w:r>
      <w:r>
        <w:t xml:space="preserve">_____________________________________     </w:t>
      </w:r>
      <w:r>
        <w:tab/>
      </w:r>
      <w:r>
        <w:tab/>
      </w:r>
      <w:r>
        <w:tab/>
      </w:r>
      <w:r>
        <w:tab/>
      </w:r>
      <w:r>
        <w:tab/>
      </w:r>
      <w:r>
        <w:rPr>
          <w:u w:val="single"/>
        </w:rPr>
        <w:t>July 30, 2014</w:t>
      </w:r>
      <w:r>
        <w:t>__________________</w:t>
      </w:r>
    </w:p>
    <w:p w:rsidR="00563B65" w:rsidRDefault="004B55CD">
      <w:r>
        <w:t>LB iLearn Team Member</w:t>
      </w:r>
      <w:r>
        <w:tab/>
      </w:r>
      <w:r>
        <w:tab/>
      </w:r>
      <w:r>
        <w:tab/>
      </w:r>
      <w:r>
        <w:tab/>
      </w:r>
      <w:r>
        <w:tab/>
      </w:r>
      <w:r>
        <w:tab/>
      </w:r>
      <w:r>
        <w:tab/>
      </w:r>
      <w:r>
        <w:tab/>
      </w:r>
      <w:r>
        <w:tab/>
      </w:r>
      <w:r>
        <w:tab/>
      </w:r>
      <w:r>
        <w:tab/>
      </w:r>
      <w:r>
        <w:tab/>
        <w:t>Date</w:t>
      </w:r>
    </w:p>
    <w:p w:rsidR="00563B65" w:rsidRDefault="00563B65"/>
    <w:p w:rsidR="00C03660" w:rsidRPr="007D37A7" w:rsidRDefault="00C03660" w:rsidP="00C03660">
      <w:pPr>
        <w:rPr>
          <w:sz w:val="20"/>
          <w:szCs w:val="20"/>
        </w:rPr>
      </w:pPr>
      <w:r w:rsidRPr="007D37A7">
        <w:rPr>
          <w:sz w:val="20"/>
          <w:szCs w:val="20"/>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007D37A7">
        <w:rPr>
          <w:sz w:val="20"/>
          <w:szCs w:val="20"/>
        </w:rPr>
        <w:tab/>
      </w:r>
    </w:p>
    <w:p w:rsidR="00C03660" w:rsidRPr="007D37A7" w:rsidRDefault="00C03660" w:rsidP="00C03660">
      <w:pPr>
        <w:rPr>
          <w:sz w:val="20"/>
          <w:szCs w:val="20"/>
        </w:rPr>
      </w:pPr>
      <w:r w:rsidRPr="007D37A7">
        <w:rPr>
          <w:noProof/>
          <w:sz w:val="20"/>
          <w:szCs w:val="20"/>
        </w:rPr>
        <w:drawing>
          <wp:inline distT="0" distB="0" distL="0" distR="0" wp14:anchorId="0D8DFCE5" wp14:editId="1B2B8C79">
            <wp:extent cx="838200" cy="295275"/>
            <wp:effectExtent l="0" t="0" r="0" b="952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icon.png"/>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C03660" w:rsidRPr="007D37A7" w:rsidRDefault="00C03660" w:rsidP="00C03660">
      <w:pPr>
        <w:rPr>
          <w:sz w:val="20"/>
          <w:szCs w:val="20"/>
        </w:rPr>
      </w:pPr>
      <w:r w:rsidRPr="007D37A7">
        <w:rPr>
          <w:sz w:val="20"/>
          <w:szCs w:val="20"/>
        </w:rPr>
        <w:t>Documents also licensed under Creative Commons 4.0 International (CCBY).</w:t>
      </w:r>
    </w:p>
    <w:p w:rsidR="00563B65" w:rsidRDefault="00563B65">
      <w:pPr>
        <w:widowControl/>
      </w:pPr>
    </w:p>
    <w:sectPr w:rsidR="00563B65">
      <w:footerReference w:type="default" r:id="rId8"/>
      <w:pgSz w:w="15840" w:h="12240"/>
      <w:pgMar w:top="288" w:right="431" w:bottom="431" w:left="43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F5" w:rsidRDefault="003A44F5">
      <w:pPr>
        <w:spacing w:line="240" w:lineRule="auto"/>
      </w:pPr>
      <w:r>
        <w:separator/>
      </w:r>
    </w:p>
  </w:endnote>
  <w:endnote w:type="continuationSeparator" w:id="0">
    <w:p w:rsidR="003A44F5" w:rsidRDefault="003A4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65" w:rsidRDefault="004B55CD">
    <w:pPr>
      <w:jc w:val="right"/>
    </w:pPr>
    <w:r>
      <w:fldChar w:fldCharType="begin"/>
    </w:r>
    <w:r>
      <w:instrText>PAGE</w:instrText>
    </w:r>
    <w:r>
      <w:fldChar w:fldCharType="separate"/>
    </w:r>
    <w:r w:rsidR="00F729F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F5" w:rsidRDefault="003A44F5">
      <w:pPr>
        <w:spacing w:line="240" w:lineRule="auto"/>
      </w:pPr>
      <w:r>
        <w:separator/>
      </w:r>
    </w:p>
  </w:footnote>
  <w:footnote w:type="continuationSeparator" w:id="0">
    <w:p w:rsidR="003A44F5" w:rsidRDefault="003A44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65"/>
    <w:rsid w:val="003A44F5"/>
    <w:rsid w:val="004B55CD"/>
    <w:rsid w:val="00563B65"/>
    <w:rsid w:val="00C03660"/>
    <w:rsid w:val="00F7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1331"/>
  <w15:docId w15:val="{162A4AFB-340F-4BF5-98A6-F150865E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Meyers</dc:creator>
  <cp:lastModifiedBy>mallors</cp:lastModifiedBy>
  <cp:revision>2</cp:revision>
  <dcterms:created xsi:type="dcterms:W3CDTF">2017-09-23T13:17:00Z</dcterms:created>
  <dcterms:modified xsi:type="dcterms:W3CDTF">2017-09-23T13:17:00Z</dcterms:modified>
</cp:coreProperties>
</file>