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6C" w:rsidRDefault="001D3632" w:rsidP="00A92050">
      <w:pPr>
        <w:pStyle w:val="Title"/>
        <w:jc w:val="center"/>
        <w:rPr>
          <w:noProof/>
        </w:rPr>
      </w:pPr>
      <w:r>
        <w:rPr>
          <w:noProof/>
        </w:rPr>
        <w:t>Robeson Community College</w:t>
      </w:r>
    </w:p>
    <w:p w:rsidR="006A45A7" w:rsidRPr="001D3632" w:rsidRDefault="006D21AD" w:rsidP="00A92050">
      <w:pPr>
        <w:pStyle w:val="Heading1"/>
        <w:jc w:val="center"/>
        <w:rPr>
          <w:noProof/>
        </w:rPr>
      </w:pPr>
      <w:r>
        <w:rPr>
          <w:noProof/>
        </w:rPr>
        <w:t>NAS 107</w:t>
      </w:r>
      <w:r w:rsidR="006A45A7">
        <w:rPr>
          <w:noProof/>
        </w:rPr>
        <w:t xml:space="preserve"> </w:t>
      </w:r>
      <w:r w:rsidR="00A92050">
        <w:rPr>
          <w:noProof/>
        </w:rPr>
        <w:t xml:space="preserve">Medication Aide </w:t>
      </w:r>
      <w:r w:rsidR="006A45A7">
        <w:rPr>
          <w:noProof/>
        </w:rPr>
        <w:t>Syll</w:t>
      </w:r>
      <w:r>
        <w:rPr>
          <w:noProof/>
        </w:rPr>
        <w:t>a</w:t>
      </w:r>
      <w:r w:rsidR="006A45A7">
        <w:rPr>
          <w:noProof/>
        </w:rPr>
        <w:t>bus</w:t>
      </w:r>
    </w:p>
    <w:p w:rsidR="0041016C" w:rsidRPr="00BE2A18" w:rsidRDefault="00DA1982" w:rsidP="000E229F">
      <w:pPr>
        <w:spacing w:line="240" w:lineRule="auto"/>
        <w:rPr>
          <w:rFonts w:ascii="Times New Roman" w:hAnsi="Times New Roman" w:cs="Times New Roman"/>
          <w:b/>
          <w:bCs/>
        </w:rPr>
      </w:pPr>
      <w:r w:rsidRPr="00A92050">
        <w:rPr>
          <w:rStyle w:val="Heading2Char"/>
        </w:rPr>
        <w:t>Course:</w:t>
      </w:r>
      <w:r>
        <w:rPr>
          <w:rFonts w:ascii="Times New Roman" w:hAnsi="Times New Roman" w:cs="Times New Roman"/>
          <w:b/>
          <w:bCs/>
        </w:rPr>
        <w:t xml:space="preserve"> </w:t>
      </w:r>
      <w:r w:rsidR="006D21AD" w:rsidRPr="00A92050">
        <w:rPr>
          <w:rFonts w:cs="Times New Roman"/>
          <w:bCs/>
        </w:rPr>
        <w:t>NAS 107 MD1</w:t>
      </w:r>
    </w:p>
    <w:p w:rsidR="0041016C" w:rsidRPr="00BE2A18" w:rsidRDefault="00DA1982" w:rsidP="000E229F">
      <w:pPr>
        <w:spacing w:line="240" w:lineRule="auto"/>
        <w:rPr>
          <w:rFonts w:ascii="Times New Roman" w:hAnsi="Times New Roman" w:cs="Times New Roman"/>
          <w:b/>
          <w:bCs/>
        </w:rPr>
      </w:pPr>
      <w:r w:rsidRPr="00A92050">
        <w:rPr>
          <w:rStyle w:val="Heading2Char"/>
        </w:rPr>
        <w:t>Semester:</w:t>
      </w:r>
      <w:r>
        <w:rPr>
          <w:rFonts w:ascii="Times New Roman" w:hAnsi="Times New Roman" w:cs="Times New Roman"/>
          <w:b/>
          <w:bCs/>
        </w:rPr>
        <w:t xml:space="preserve"> </w:t>
      </w:r>
      <w:r w:rsidR="003C030B" w:rsidRPr="00A92050">
        <w:rPr>
          <w:rFonts w:cs="Times New Roman"/>
          <w:bCs/>
        </w:rPr>
        <w:t>Spring 2017</w:t>
      </w:r>
    </w:p>
    <w:p w:rsidR="0041016C" w:rsidRPr="00DA1982" w:rsidRDefault="00DA1982" w:rsidP="000E229F">
      <w:pPr>
        <w:spacing w:line="240" w:lineRule="auto"/>
        <w:rPr>
          <w:rFonts w:ascii="Times New Roman" w:hAnsi="Times New Roman" w:cs="Times New Roman"/>
          <w:bCs/>
        </w:rPr>
      </w:pPr>
      <w:r w:rsidRPr="00A92050">
        <w:rPr>
          <w:rStyle w:val="Heading2Char"/>
        </w:rPr>
        <w:t>Course Meeting Times:</w:t>
      </w:r>
      <w:r>
        <w:rPr>
          <w:rFonts w:ascii="Times New Roman" w:hAnsi="Times New Roman" w:cs="Times New Roman"/>
          <w:b/>
          <w:bCs/>
        </w:rPr>
        <w:t xml:space="preserve"> </w:t>
      </w:r>
      <w:r w:rsidR="000F71C0" w:rsidRPr="00A92050">
        <w:rPr>
          <w:rFonts w:cs="Times New Roman"/>
          <w:bCs/>
        </w:rPr>
        <w:t xml:space="preserve">Monday &amp; Wednesday </w:t>
      </w:r>
      <w:r w:rsidR="006D21AD" w:rsidRPr="00A92050">
        <w:rPr>
          <w:rFonts w:cs="Times New Roman"/>
          <w:bCs/>
        </w:rPr>
        <w:t>2:00pm -2:50p</w:t>
      </w:r>
      <w:r w:rsidR="00D03537" w:rsidRPr="00A92050">
        <w:rPr>
          <w:rFonts w:cs="Times New Roman"/>
          <w:bCs/>
        </w:rPr>
        <w:t>m</w:t>
      </w:r>
      <w:r w:rsidR="0041016C" w:rsidRPr="00A92050">
        <w:rPr>
          <w:rFonts w:ascii="Times New Roman" w:hAnsi="Times New Roman" w:cs="Times New Roman"/>
          <w:bCs/>
        </w:rPr>
        <w:t xml:space="preserve"> </w:t>
      </w:r>
    </w:p>
    <w:p w:rsidR="0041016C" w:rsidRDefault="00DA1982" w:rsidP="000E229F">
      <w:pPr>
        <w:spacing w:line="240" w:lineRule="auto"/>
        <w:rPr>
          <w:rFonts w:ascii="Times New Roman" w:hAnsi="Times New Roman" w:cs="Times New Roman"/>
          <w:b/>
          <w:bCs/>
        </w:rPr>
      </w:pPr>
      <w:r w:rsidRPr="00A92050">
        <w:rPr>
          <w:rStyle w:val="Heading2Char"/>
        </w:rPr>
        <w:t>Course Location</w:t>
      </w:r>
      <w:r>
        <w:rPr>
          <w:rFonts w:ascii="Times New Roman" w:hAnsi="Times New Roman" w:cs="Times New Roman"/>
          <w:b/>
          <w:bCs/>
        </w:rPr>
        <w:t xml:space="preserve">: </w:t>
      </w:r>
      <w:r w:rsidR="00FA63E4" w:rsidRPr="00A92050">
        <w:rPr>
          <w:rFonts w:cs="Times New Roman"/>
          <w:bCs/>
        </w:rPr>
        <w:t>Building 17, Room</w:t>
      </w:r>
      <w:r w:rsidR="00D03537" w:rsidRPr="00A92050">
        <w:rPr>
          <w:rFonts w:cs="Times New Roman"/>
          <w:bCs/>
        </w:rPr>
        <w:t xml:space="preserve"> 1735A</w:t>
      </w:r>
    </w:p>
    <w:p w:rsidR="00DA1982" w:rsidRPr="00DA1982" w:rsidRDefault="00DA1982" w:rsidP="000E229F">
      <w:pPr>
        <w:spacing w:line="240" w:lineRule="auto"/>
        <w:rPr>
          <w:rFonts w:ascii="Times New Roman" w:hAnsi="Times New Roman" w:cs="Times New Roman"/>
          <w:b/>
          <w:bCs/>
        </w:rPr>
      </w:pPr>
      <w:r w:rsidRPr="00A92050">
        <w:rPr>
          <w:rStyle w:val="Heading2Char"/>
        </w:rPr>
        <w:t>Course Credit:</w:t>
      </w:r>
      <w:r>
        <w:rPr>
          <w:rFonts w:ascii="Times New Roman" w:hAnsi="Times New Roman" w:cs="Times New Roman"/>
          <w:b/>
          <w:bCs/>
        </w:rPr>
        <w:t xml:space="preserve"> </w:t>
      </w:r>
      <w:r w:rsidR="0007596F" w:rsidRPr="00A92050">
        <w:rPr>
          <w:rFonts w:cs="Times New Roman"/>
          <w:bCs/>
        </w:rPr>
        <w:t>1</w:t>
      </w:r>
    </w:p>
    <w:p w:rsidR="009A4AA0" w:rsidRPr="00941DB2" w:rsidRDefault="0041016C" w:rsidP="000E229F">
      <w:pPr>
        <w:pStyle w:val="Heading2"/>
        <w:spacing w:before="240"/>
      </w:pPr>
      <w:r w:rsidRPr="00941DB2">
        <w:t>Instructor Information</w:t>
      </w:r>
    </w:p>
    <w:p w:rsidR="00DA1982" w:rsidRPr="00625DE6" w:rsidRDefault="00A92050" w:rsidP="00625DE6">
      <w:pPr>
        <w:ind w:firstLine="720"/>
        <w:rPr>
          <w:rStyle w:val="Strong"/>
        </w:rPr>
      </w:pPr>
      <w:r w:rsidRPr="00625DE6">
        <w:rPr>
          <w:rStyle w:val="Strong"/>
        </w:rPr>
        <w:t xml:space="preserve">Instructor: </w:t>
      </w:r>
      <w:r w:rsidRPr="00625DE6">
        <w:rPr>
          <w:rStyle w:val="Strong"/>
          <w:b w:val="0"/>
        </w:rPr>
        <w:t>TBD</w:t>
      </w:r>
    </w:p>
    <w:p w:rsidR="001D3632" w:rsidRPr="00625DE6" w:rsidRDefault="00DA1982" w:rsidP="00625DE6">
      <w:pPr>
        <w:ind w:firstLine="720"/>
        <w:rPr>
          <w:rStyle w:val="Strong"/>
          <w:b w:val="0"/>
        </w:rPr>
      </w:pPr>
      <w:r w:rsidRPr="00625DE6">
        <w:rPr>
          <w:rStyle w:val="Strong"/>
        </w:rPr>
        <w:t xml:space="preserve">Office Location: </w:t>
      </w:r>
      <w:r w:rsidR="00FA63E4" w:rsidRPr="00625DE6">
        <w:rPr>
          <w:rStyle w:val="Strong"/>
          <w:b w:val="0"/>
        </w:rPr>
        <w:t>Building 17</w:t>
      </w:r>
    </w:p>
    <w:p w:rsidR="00DA1982" w:rsidRDefault="00DA1982" w:rsidP="00A92050">
      <w:pPr>
        <w:ind w:left="720"/>
        <w:rPr>
          <w:rFonts w:ascii="Times New Roman" w:hAnsi="Times New Roman" w:cs="Times New Roman"/>
          <w:b/>
          <w:bCs/>
        </w:rPr>
      </w:pPr>
      <w:r w:rsidRPr="00625DE6">
        <w:rPr>
          <w:rStyle w:val="Strong"/>
        </w:rPr>
        <w:t>Office Hours</w:t>
      </w:r>
      <w:r>
        <w:rPr>
          <w:rFonts w:ascii="Times New Roman" w:hAnsi="Times New Roman" w:cs="Times New Roman"/>
          <w:b/>
          <w:bCs/>
        </w:rPr>
        <w:t xml:space="preserve">: </w:t>
      </w:r>
      <w:r w:rsidR="00D03537" w:rsidRPr="00A92050">
        <w:rPr>
          <w:rFonts w:cs="Times New Roman"/>
          <w:bCs/>
        </w:rPr>
        <w:t>Tuesday &amp; Thursday 8:30am – 11:00am</w:t>
      </w:r>
    </w:p>
    <w:p w:rsidR="001D3632" w:rsidRDefault="001D3632" w:rsidP="00A92050">
      <w:pPr>
        <w:ind w:left="720"/>
        <w:rPr>
          <w:rFonts w:ascii="Times New Roman" w:hAnsi="Times New Roman" w:cs="Times New Roman"/>
          <w:b/>
          <w:bCs/>
        </w:rPr>
      </w:pPr>
      <w:r w:rsidRPr="00625DE6">
        <w:rPr>
          <w:rStyle w:val="Strong"/>
        </w:rPr>
        <w:t>Telephone number</w:t>
      </w:r>
      <w:r w:rsidRPr="00A92050">
        <w:rPr>
          <w:rStyle w:val="Heading3Char"/>
        </w:rPr>
        <w:t>:</w:t>
      </w:r>
      <w:r>
        <w:rPr>
          <w:rFonts w:ascii="Times New Roman" w:hAnsi="Times New Roman" w:cs="Times New Roman"/>
          <w:b/>
          <w:bCs/>
        </w:rPr>
        <w:t xml:space="preserve"> </w:t>
      </w:r>
      <w:r w:rsidR="00A92050">
        <w:rPr>
          <w:rFonts w:ascii="Times New Roman" w:hAnsi="Times New Roman" w:cs="Times New Roman"/>
          <w:b/>
          <w:bCs/>
        </w:rPr>
        <w:t>(</w:t>
      </w:r>
      <w:r w:rsidR="00A92050">
        <w:rPr>
          <w:rFonts w:ascii="Times New Roman" w:hAnsi="Times New Roman" w:cs="Times New Roman"/>
          <w:bCs/>
        </w:rPr>
        <w:t xml:space="preserve">910) </w:t>
      </w:r>
      <w:r w:rsidR="00FA63E4">
        <w:rPr>
          <w:rFonts w:ascii="Times New Roman" w:hAnsi="Times New Roman" w:cs="Times New Roman"/>
          <w:bCs/>
        </w:rPr>
        <w:t>272</w:t>
      </w:r>
      <w:r w:rsidR="00A92050">
        <w:rPr>
          <w:rFonts w:ascii="Times New Roman" w:hAnsi="Times New Roman" w:cs="Times New Roman"/>
          <w:bCs/>
        </w:rPr>
        <w:t>-</w:t>
      </w:r>
      <w:r w:rsidR="00FA63E4">
        <w:rPr>
          <w:rFonts w:ascii="Times New Roman" w:hAnsi="Times New Roman" w:cs="Times New Roman"/>
          <w:bCs/>
        </w:rPr>
        <w:t>3397</w:t>
      </w:r>
    </w:p>
    <w:p w:rsidR="00DA1982" w:rsidRDefault="00DA1982" w:rsidP="00A92050">
      <w:pPr>
        <w:ind w:left="720"/>
        <w:rPr>
          <w:rFonts w:ascii="Times New Roman" w:hAnsi="Times New Roman" w:cs="Times New Roman"/>
          <w:b/>
          <w:bCs/>
        </w:rPr>
      </w:pPr>
      <w:r w:rsidRPr="00625DE6">
        <w:rPr>
          <w:rStyle w:val="Strong"/>
        </w:rPr>
        <w:t>Email</w:t>
      </w:r>
      <w:r w:rsidRPr="00A92050">
        <w:rPr>
          <w:rStyle w:val="Heading3Char"/>
        </w:rPr>
        <w:t>:</w:t>
      </w:r>
      <w:r>
        <w:rPr>
          <w:rFonts w:ascii="Times New Roman" w:hAnsi="Times New Roman" w:cs="Times New Roman"/>
          <w:b/>
          <w:bCs/>
        </w:rPr>
        <w:t xml:space="preserve"> </w:t>
      </w:r>
      <w:hyperlink r:id="rId7" w:history="1">
        <w:r w:rsidR="00A92050" w:rsidRPr="00A92050">
          <w:rPr>
            <w:rStyle w:val="Hyperlink"/>
            <w:rFonts w:ascii="Times New Roman" w:hAnsi="Times New Roman" w:cs="Times New Roman"/>
            <w:bCs/>
          </w:rPr>
          <w:t>Instructor email</w:t>
        </w:r>
      </w:hyperlink>
    </w:p>
    <w:p w:rsidR="0041016C" w:rsidRDefault="00D03537" w:rsidP="000E229F">
      <w:pPr>
        <w:pStyle w:val="Heading2"/>
        <w:spacing w:before="240" w:line="240" w:lineRule="auto"/>
      </w:pPr>
      <w:r>
        <w:t>Course</w:t>
      </w:r>
      <w:r w:rsidR="0041016C" w:rsidRPr="00941DB2">
        <w:t xml:space="preserve"> Description</w:t>
      </w:r>
      <w:r>
        <w:t xml:space="preserve"> (CCL)</w:t>
      </w:r>
    </w:p>
    <w:p w:rsidR="006D21AD" w:rsidRPr="00A92050" w:rsidRDefault="006D21AD" w:rsidP="000E229F">
      <w:r w:rsidRPr="00A92050">
        <w:t xml:space="preserve">This course will cover the six rights of medication administration for non-licensed personnel. Topics will include medication administration via the oral, topical and installation routes, medical asepsis, hand hygiene, terminology, and legal implications. Upon completion, students should be able to demonstrate skills necessary to quality as a Medication Aide with the North Carolina Medication Aide Registry. </w:t>
      </w:r>
    </w:p>
    <w:p w:rsidR="0041016C" w:rsidRDefault="00D03537" w:rsidP="000E229F">
      <w:pPr>
        <w:pStyle w:val="Heading2"/>
        <w:spacing w:before="240"/>
      </w:pPr>
      <w:r>
        <w:t>Course Student</w:t>
      </w:r>
      <w:r w:rsidR="0041016C" w:rsidRPr="00941DB2">
        <w:t xml:space="preserve"> Learning Outcomes</w:t>
      </w:r>
    </w:p>
    <w:p w:rsidR="006D21AD" w:rsidRPr="00625DE6" w:rsidRDefault="006D21AD" w:rsidP="00625DE6">
      <w:pPr>
        <w:pStyle w:val="Heading3"/>
      </w:pPr>
      <w:r w:rsidRPr="00625DE6">
        <w:t>Unit I: Scope of Duties</w:t>
      </w:r>
    </w:p>
    <w:p w:rsidR="006D21AD" w:rsidRPr="000E229F" w:rsidRDefault="006D21AD" w:rsidP="00ED1079">
      <w:pPr>
        <w:spacing w:line="240" w:lineRule="auto"/>
        <w:rPr>
          <w:rFonts w:eastAsia="Calibri" w:cs="Times New Roman"/>
          <w:szCs w:val="24"/>
        </w:rPr>
      </w:pPr>
      <w:r w:rsidRPr="000E229F">
        <w:rPr>
          <w:rFonts w:eastAsia="Calibri" w:cs="Times New Roman"/>
          <w:szCs w:val="24"/>
        </w:rPr>
        <w:t>At the completion of this unit of study, the student should:</w:t>
      </w:r>
    </w:p>
    <w:p w:rsidR="006D21AD" w:rsidRPr="000E229F" w:rsidRDefault="006D21AD" w:rsidP="00A92050">
      <w:pPr>
        <w:pStyle w:val="ListParagraph"/>
        <w:numPr>
          <w:ilvl w:val="0"/>
          <w:numId w:val="16"/>
        </w:numPr>
        <w:ind w:left="576" w:hanging="288"/>
        <w:rPr>
          <w:rFonts w:eastAsia="Calibri"/>
          <w:szCs w:val="24"/>
        </w:rPr>
      </w:pPr>
      <w:r w:rsidRPr="000E229F">
        <w:rPr>
          <w:rFonts w:eastAsia="Calibri"/>
          <w:szCs w:val="24"/>
        </w:rPr>
        <w:t>Identify the general role of a Medication Aide.</w:t>
      </w:r>
    </w:p>
    <w:p w:rsidR="006D21AD" w:rsidRPr="000E229F" w:rsidRDefault="006D21AD" w:rsidP="00A92050">
      <w:pPr>
        <w:pStyle w:val="ListParagraph"/>
        <w:numPr>
          <w:ilvl w:val="0"/>
          <w:numId w:val="16"/>
        </w:numPr>
        <w:ind w:left="576" w:hanging="288"/>
        <w:rPr>
          <w:rFonts w:eastAsia="Calibri"/>
          <w:szCs w:val="24"/>
        </w:rPr>
      </w:pPr>
      <w:r w:rsidRPr="000E229F">
        <w:rPr>
          <w:rFonts w:eastAsia="Calibri"/>
          <w:szCs w:val="24"/>
        </w:rPr>
        <w:t>Explain the expectations and limitations of the role of Medication Aide.</w:t>
      </w:r>
    </w:p>
    <w:p w:rsidR="006D21AD" w:rsidRPr="000E229F" w:rsidRDefault="006D21AD" w:rsidP="00A92050">
      <w:pPr>
        <w:pStyle w:val="ListParagraph"/>
        <w:numPr>
          <w:ilvl w:val="0"/>
          <w:numId w:val="16"/>
        </w:numPr>
        <w:ind w:left="576" w:hanging="288"/>
        <w:rPr>
          <w:rFonts w:eastAsia="Calibri"/>
          <w:szCs w:val="24"/>
        </w:rPr>
      </w:pPr>
      <w:r w:rsidRPr="000E229F">
        <w:rPr>
          <w:rFonts w:eastAsia="Calibri"/>
          <w:szCs w:val="24"/>
        </w:rPr>
        <w:t>Discuss the consequences of exceeding or not fulfilling the expectations of the Medication Aide.</w:t>
      </w:r>
    </w:p>
    <w:p w:rsidR="006D21AD" w:rsidRPr="000E229F" w:rsidRDefault="006D21AD" w:rsidP="00A92050">
      <w:pPr>
        <w:pStyle w:val="ListParagraph"/>
        <w:numPr>
          <w:ilvl w:val="0"/>
          <w:numId w:val="16"/>
        </w:numPr>
        <w:ind w:left="576" w:hanging="288"/>
        <w:rPr>
          <w:rFonts w:eastAsia="Calibri"/>
          <w:szCs w:val="24"/>
        </w:rPr>
      </w:pPr>
      <w:r w:rsidRPr="000E229F">
        <w:rPr>
          <w:rFonts w:eastAsia="Calibri"/>
          <w:szCs w:val="24"/>
        </w:rPr>
        <w:t>Discuss the responsibilities of the employing health care setting in providing supervision and on-going training for the Medication Aide.</w:t>
      </w:r>
    </w:p>
    <w:p w:rsidR="006D21AD" w:rsidRPr="000E229F" w:rsidRDefault="006D21AD" w:rsidP="00A92050">
      <w:pPr>
        <w:pStyle w:val="ListParagraph"/>
        <w:numPr>
          <w:ilvl w:val="0"/>
          <w:numId w:val="16"/>
        </w:numPr>
        <w:ind w:left="576" w:hanging="288"/>
        <w:rPr>
          <w:rFonts w:eastAsia="Calibri"/>
          <w:szCs w:val="24"/>
        </w:rPr>
      </w:pPr>
      <w:r w:rsidRPr="000E229F">
        <w:rPr>
          <w:rFonts w:eastAsia="Calibri"/>
          <w:szCs w:val="24"/>
        </w:rPr>
        <w:t>Explain basic roles of physicians, pharmacists, RNs, LPNs, personal care supervisors, and Medication Aides in the health care system.</w:t>
      </w:r>
    </w:p>
    <w:p w:rsidR="006D21AD" w:rsidRPr="00625DE6" w:rsidRDefault="006D21AD" w:rsidP="00625DE6">
      <w:pPr>
        <w:pStyle w:val="Heading3"/>
      </w:pPr>
      <w:r w:rsidRPr="00625DE6">
        <w:lastRenderedPageBreak/>
        <w:t>Unit II: Legal/Ethical Responsibilities</w:t>
      </w:r>
    </w:p>
    <w:p w:rsidR="006D21AD" w:rsidRPr="000E229F" w:rsidRDefault="006D21AD" w:rsidP="006D21AD">
      <w:pPr>
        <w:spacing w:line="240" w:lineRule="auto"/>
        <w:rPr>
          <w:rFonts w:eastAsia="Calibri" w:cs="Times New Roman"/>
          <w:szCs w:val="24"/>
        </w:rPr>
      </w:pPr>
      <w:r w:rsidRPr="000E229F">
        <w:rPr>
          <w:rFonts w:eastAsia="Calibri" w:cs="Times New Roman"/>
          <w:szCs w:val="24"/>
        </w:rPr>
        <w:t>At the completion of this unit of study, the student should:</w:t>
      </w:r>
    </w:p>
    <w:p w:rsidR="006D21AD" w:rsidRPr="000E229F" w:rsidRDefault="006D21AD" w:rsidP="00ED1079">
      <w:pPr>
        <w:pStyle w:val="ListParagraph"/>
        <w:numPr>
          <w:ilvl w:val="0"/>
          <w:numId w:val="18"/>
        </w:numPr>
        <w:ind w:left="648"/>
        <w:rPr>
          <w:rFonts w:eastAsia="Calibri"/>
          <w:szCs w:val="24"/>
        </w:rPr>
      </w:pPr>
      <w:r w:rsidRPr="000E229F">
        <w:rPr>
          <w:rFonts w:eastAsia="Calibri"/>
          <w:szCs w:val="24"/>
        </w:rPr>
        <w:t>Recognize legal implications of negligence, fraud, and diversion.</w:t>
      </w:r>
    </w:p>
    <w:p w:rsidR="006D21AD" w:rsidRPr="000E229F" w:rsidRDefault="006D21AD" w:rsidP="00ED1079">
      <w:pPr>
        <w:pStyle w:val="ListParagraph"/>
        <w:numPr>
          <w:ilvl w:val="0"/>
          <w:numId w:val="18"/>
        </w:numPr>
        <w:ind w:left="648"/>
        <w:rPr>
          <w:rFonts w:eastAsia="Calibri" w:cs="Times New Roman"/>
          <w:szCs w:val="24"/>
        </w:rPr>
      </w:pPr>
      <w:r w:rsidRPr="000E229F">
        <w:rPr>
          <w:rFonts w:eastAsia="Calibri" w:cs="Times New Roman"/>
          <w:szCs w:val="24"/>
        </w:rPr>
        <w:t>Recognize issues around medication administration errors.</w:t>
      </w:r>
    </w:p>
    <w:p w:rsidR="006D21AD" w:rsidRPr="000E229F" w:rsidRDefault="006D21AD" w:rsidP="00ED1079">
      <w:pPr>
        <w:pStyle w:val="ListParagraph"/>
        <w:numPr>
          <w:ilvl w:val="0"/>
          <w:numId w:val="18"/>
        </w:numPr>
        <w:ind w:left="648"/>
        <w:rPr>
          <w:rFonts w:eastAsia="Calibri" w:cs="Times New Roman"/>
          <w:szCs w:val="24"/>
        </w:rPr>
      </w:pPr>
      <w:r w:rsidRPr="000E229F">
        <w:rPr>
          <w:rFonts w:eastAsia="Calibri" w:cs="Times New Roman"/>
          <w:szCs w:val="24"/>
        </w:rPr>
        <w:t>Explain the client’s rights to privacy, confidentiality, independence, and refusal.</w:t>
      </w:r>
    </w:p>
    <w:p w:rsidR="006D21AD" w:rsidRPr="00625DE6" w:rsidRDefault="006D21AD" w:rsidP="00625DE6">
      <w:pPr>
        <w:pStyle w:val="Heading3"/>
      </w:pPr>
      <w:r w:rsidRPr="00625DE6">
        <w:t>Unit III: Overview of Medication Administration</w:t>
      </w:r>
    </w:p>
    <w:p w:rsidR="006D21AD" w:rsidRPr="000E229F" w:rsidRDefault="006D21AD" w:rsidP="00ED1079">
      <w:pPr>
        <w:rPr>
          <w:rFonts w:eastAsia="Calibri" w:cs="Times New Roman"/>
          <w:szCs w:val="24"/>
        </w:rPr>
      </w:pPr>
      <w:r w:rsidRPr="000E229F">
        <w:rPr>
          <w:rFonts w:eastAsia="Calibri" w:cs="Times New Roman"/>
          <w:szCs w:val="24"/>
        </w:rPr>
        <w:t>At the completion of this unit of study, the student should:</w:t>
      </w:r>
    </w:p>
    <w:p w:rsidR="006D21AD" w:rsidRPr="000E229F" w:rsidRDefault="006D21AD" w:rsidP="00ED1079">
      <w:pPr>
        <w:pStyle w:val="ListParagraph"/>
        <w:numPr>
          <w:ilvl w:val="0"/>
          <w:numId w:val="20"/>
        </w:numPr>
        <w:ind w:left="576" w:hanging="288"/>
        <w:rPr>
          <w:rFonts w:eastAsia="Calibri"/>
          <w:szCs w:val="24"/>
        </w:rPr>
      </w:pPr>
      <w:r w:rsidRPr="000E229F">
        <w:rPr>
          <w:rFonts w:eastAsia="Calibri"/>
          <w:szCs w:val="24"/>
        </w:rPr>
        <w:t>Demonstrate proficiency and safety in preparation of medications.</w:t>
      </w:r>
    </w:p>
    <w:p w:rsidR="006D21AD" w:rsidRPr="000E229F" w:rsidRDefault="006D21AD" w:rsidP="00ED1079">
      <w:pPr>
        <w:pStyle w:val="ListParagraph"/>
        <w:numPr>
          <w:ilvl w:val="0"/>
          <w:numId w:val="20"/>
        </w:numPr>
        <w:ind w:left="576" w:hanging="288"/>
        <w:rPr>
          <w:rFonts w:eastAsia="Calibri"/>
          <w:szCs w:val="24"/>
        </w:rPr>
      </w:pPr>
      <w:r w:rsidRPr="000E229F">
        <w:rPr>
          <w:rFonts w:eastAsia="Calibri"/>
          <w:szCs w:val="24"/>
        </w:rPr>
        <w:t>Recognize commonly used abbreviations and terminology related to medication administration.</w:t>
      </w:r>
    </w:p>
    <w:p w:rsidR="006D21AD" w:rsidRPr="000E229F" w:rsidRDefault="006D21AD" w:rsidP="00ED1079">
      <w:pPr>
        <w:pStyle w:val="ListParagraph"/>
        <w:numPr>
          <w:ilvl w:val="0"/>
          <w:numId w:val="20"/>
        </w:numPr>
        <w:ind w:left="576" w:hanging="288"/>
        <w:rPr>
          <w:rFonts w:eastAsia="Calibri"/>
          <w:szCs w:val="24"/>
        </w:rPr>
      </w:pPr>
      <w:r w:rsidRPr="000E229F">
        <w:rPr>
          <w:rFonts w:eastAsia="Calibri"/>
          <w:szCs w:val="24"/>
        </w:rPr>
        <w:t>Demonstrate proficiency in reading a medication label.</w:t>
      </w:r>
    </w:p>
    <w:p w:rsidR="006D21AD" w:rsidRPr="000E229F" w:rsidRDefault="006D21AD" w:rsidP="00ED1079">
      <w:pPr>
        <w:pStyle w:val="ListParagraph"/>
        <w:numPr>
          <w:ilvl w:val="0"/>
          <w:numId w:val="20"/>
        </w:numPr>
        <w:ind w:left="576" w:hanging="288"/>
        <w:rPr>
          <w:rFonts w:eastAsia="Calibri"/>
          <w:szCs w:val="24"/>
        </w:rPr>
      </w:pPr>
      <w:r w:rsidRPr="000E229F">
        <w:rPr>
          <w:rFonts w:eastAsia="Calibri"/>
          <w:szCs w:val="24"/>
        </w:rPr>
        <w:t xml:space="preserve">Use the </w:t>
      </w:r>
      <w:r w:rsidR="000E229F" w:rsidRPr="000E229F">
        <w:rPr>
          <w:rStyle w:val="Strong"/>
          <w:szCs w:val="24"/>
        </w:rPr>
        <w:t>SIX RIGHTS</w:t>
      </w:r>
      <w:r w:rsidR="000E229F" w:rsidRPr="000E229F">
        <w:rPr>
          <w:rFonts w:eastAsia="Calibri"/>
          <w:b/>
          <w:szCs w:val="24"/>
        </w:rPr>
        <w:t xml:space="preserve"> </w:t>
      </w:r>
      <w:r w:rsidRPr="000E229F">
        <w:rPr>
          <w:rFonts w:eastAsia="Calibri"/>
          <w:szCs w:val="24"/>
        </w:rPr>
        <w:t>to administer oral, topical, eye, ear, inhalant, vaginal, and rectal medications:</w:t>
      </w:r>
    </w:p>
    <w:p w:rsidR="006D21AD" w:rsidRPr="000E229F" w:rsidRDefault="006D21AD" w:rsidP="00ED1079">
      <w:pPr>
        <w:pStyle w:val="ListParagraph"/>
        <w:numPr>
          <w:ilvl w:val="0"/>
          <w:numId w:val="24"/>
        </w:numPr>
        <w:rPr>
          <w:szCs w:val="24"/>
        </w:rPr>
      </w:pPr>
      <w:r w:rsidRPr="000E229F">
        <w:rPr>
          <w:szCs w:val="24"/>
        </w:rPr>
        <w:t>Identify the Right CLIENT.</w:t>
      </w:r>
    </w:p>
    <w:p w:rsidR="006D21AD" w:rsidRPr="000E229F" w:rsidRDefault="006D21AD" w:rsidP="00ED1079">
      <w:pPr>
        <w:pStyle w:val="ListParagraph"/>
        <w:numPr>
          <w:ilvl w:val="0"/>
          <w:numId w:val="24"/>
        </w:numPr>
        <w:rPr>
          <w:szCs w:val="24"/>
        </w:rPr>
      </w:pPr>
      <w:r w:rsidRPr="000E229F">
        <w:rPr>
          <w:szCs w:val="24"/>
        </w:rPr>
        <w:t>Select the Right MEDICATION.</w:t>
      </w:r>
    </w:p>
    <w:p w:rsidR="006D21AD" w:rsidRPr="000E229F" w:rsidRDefault="006D21AD" w:rsidP="00ED1079">
      <w:pPr>
        <w:pStyle w:val="ListParagraph"/>
        <w:numPr>
          <w:ilvl w:val="0"/>
          <w:numId w:val="24"/>
        </w:numPr>
        <w:rPr>
          <w:szCs w:val="24"/>
        </w:rPr>
      </w:pPr>
      <w:r w:rsidRPr="000E229F">
        <w:rPr>
          <w:szCs w:val="24"/>
        </w:rPr>
        <w:t>Select the Right DOSE.</w:t>
      </w:r>
    </w:p>
    <w:p w:rsidR="006D21AD" w:rsidRPr="000E229F" w:rsidRDefault="006D21AD" w:rsidP="00ED1079">
      <w:pPr>
        <w:pStyle w:val="ListParagraph"/>
        <w:numPr>
          <w:ilvl w:val="0"/>
          <w:numId w:val="24"/>
        </w:numPr>
        <w:rPr>
          <w:szCs w:val="24"/>
        </w:rPr>
      </w:pPr>
      <w:r w:rsidRPr="000E229F">
        <w:rPr>
          <w:szCs w:val="24"/>
        </w:rPr>
        <w:t>Administer the medication correctly via the Right ROUTE.</w:t>
      </w:r>
    </w:p>
    <w:p w:rsidR="006D21AD" w:rsidRPr="000E229F" w:rsidRDefault="006D21AD" w:rsidP="00ED1079">
      <w:pPr>
        <w:pStyle w:val="ListParagraph"/>
        <w:numPr>
          <w:ilvl w:val="0"/>
          <w:numId w:val="24"/>
        </w:numPr>
        <w:rPr>
          <w:szCs w:val="24"/>
        </w:rPr>
      </w:pPr>
      <w:r w:rsidRPr="000E229F">
        <w:rPr>
          <w:szCs w:val="24"/>
        </w:rPr>
        <w:t>Identify the Right TIME.</w:t>
      </w:r>
    </w:p>
    <w:p w:rsidR="006D21AD" w:rsidRPr="000E229F" w:rsidRDefault="006D21AD" w:rsidP="00ED1079">
      <w:pPr>
        <w:pStyle w:val="ListParagraph"/>
        <w:numPr>
          <w:ilvl w:val="0"/>
          <w:numId w:val="24"/>
        </w:numPr>
        <w:rPr>
          <w:szCs w:val="24"/>
        </w:rPr>
      </w:pPr>
      <w:r w:rsidRPr="000E229F">
        <w:rPr>
          <w:szCs w:val="24"/>
        </w:rPr>
        <w:t>Complete the Right DOCUMENTATION.</w:t>
      </w:r>
    </w:p>
    <w:p w:rsidR="006D21AD" w:rsidRPr="000E229F" w:rsidRDefault="006D21AD" w:rsidP="00ED1079">
      <w:pPr>
        <w:numPr>
          <w:ilvl w:val="0"/>
          <w:numId w:val="22"/>
        </w:numPr>
        <w:spacing w:line="240" w:lineRule="auto"/>
        <w:rPr>
          <w:rFonts w:eastAsia="Calibri" w:cs="Times New Roman"/>
          <w:szCs w:val="24"/>
        </w:rPr>
      </w:pPr>
      <w:r w:rsidRPr="000E229F">
        <w:rPr>
          <w:rFonts w:eastAsia="Calibri" w:cs="Times New Roman"/>
          <w:szCs w:val="24"/>
        </w:rPr>
        <w:t xml:space="preserve">Demonstrate the use of </w:t>
      </w:r>
      <w:r w:rsidRPr="000E229F">
        <w:rPr>
          <w:rStyle w:val="IntenseEmphasis"/>
          <w:rFonts w:asciiTheme="minorHAnsi" w:hAnsiTheme="minorHAnsi"/>
          <w:szCs w:val="24"/>
        </w:rPr>
        <w:t>M</w:t>
      </w:r>
      <w:r w:rsidRPr="000E229F">
        <w:rPr>
          <w:rFonts w:eastAsia="Calibri" w:cs="Times New Roman"/>
          <w:szCs w:val="24"/>
        </w:rPr>
        <w:t xml:space="preserve">edication </w:t>
      </w:r>
      <w:r w:rsidRPr="000E229F">
        <w:rPr>
          <w:rStyle w:val="IntenseEmphasis"/>
          <w:rFonts w:asciiTheme="minorHAnsi" w:hAnsiTheme="minorHAnsi"/>
          <w:szCs w:val="24"/>
        </w:rPr>
        <w:t>A</w:t>
      </w:r>
      <w:r w:rsidRPr="000E229F">
        <w:rPr>
          <w:rFonts w:eastAsia="Calibri" w:cs="Times New Roman"/>
          <w:szCs w:val="24"/>
        </w:rPr>
        <w:t xml:space="preserve">dministration </w:t>
      </w:r>
      <w:r w:rsidRPr="000E229F">
        <w:rPr>
          <w:rStyle w:val="IntenseEmphasis"/>
          <w:rFonts w:asciiTheme="minorHAnsi" w:hAnsiTheme="minorHAnsi"/>
          <w:szCs w:val="24"/>
        </w:rPr>
        <w:t>R</w:t>
      </w:r>
      <w:r w:rsidRPr="000E229F">
        <w:rPr>
          <w:rFonts w:eastAsia="Calibri" w:cs="Times New Roman"/>
          <w:szCs w:val="24"/>
        </w:rPr>
        <w:t>ecords (</w:t>
      </w:r>
      <w:r w:rsidRPr="000E229F">
        <w:rPr>
          <w:rStyle w:val="Strong"/>
          <w:szCs w:val="24"/>
        </w:rPr>
        <w:t>MAR</w:t>
      </w:r>
      <w:r w:rsidRPr="000E229F">
        <w:rPr>
          <w:rFonts w:eastAsia="Calibri" w:cs="Times New Roman"/>
          <w:szCs w:val="24"/>
        </w:rPr>
        <w:t>s).</w:t>
      </w:r>
    </w:p>
    <w:p w:rsidR="006D21AD" w:rsidRPr="000E229F" w:rsidRDefault="006D21AD" w:rsidP="00ED1079">
      <w:pPr>
        <w:numPr>
          <w:ilvl w:val="0"/>
          <w:numId w:val="22"/>
        </w:numPr>
        <w:spacing w:line="240" w:lineRule="auto"/>
        <w:rPr>
          <w:rFonts w:eastAsia="Calibri" w:cs="Times New Roman"/>
          <w:szCs w:val="24"/>
        </w:rPr>
      </w:pPr>
      <w:r w:rsidRPr="000E229F">
        <w:rPr>
          <w:rFonts w:eastAsia="Calibri" w:cs="Times New Roman"/>
          <w:szCs w:val="24"/>
        </w:rPr>
        <w:t xml:space="preserve">Identify proper action to take when special circumstances occur in relation to medication administration. </w:t>
      </w:r>
    </w:p>
    <w:p w:rsidR="006D21AD" w:rsidRPr="000E229F" w:rsidRDefault="006D21AD" w:rsidP="00ED1079">
      <w:pPr>
        <w:numPr>
          <w:ilvl w:val="0"/>
          <w:numId w:val="22"/>
        </w:numPr>
        <w:spacing w:line="240" w:lineRule="auto"/>
        <w:rPr>
          <w:rFonts w:eastAsia="Calibri" w:cs="Times New Roman"/>
          <w:szCs w:val="24"/>
        </w:rPr>
      </w:pPr>
      <w:r w:rsidRPr="000E229F">
        <w:rPr>
          <w:rFonts w:eastAsia="Calibri" w:cs="Times New Roman"/>
          <w:szCs w:val="24"/>
        </w:rPr>
        <w:t>Recognize the role of parent/guardian in providing consent for medication administration to children or non-competent adults.</w:t>
      </w:r>
    </w:p>
    <w:p w:rsidR="006D21AD" w:rsidRPr="00625DE6" w:rsidRDefault="006D21AD" w:rsidP="00625DE6">
      <w:pPr>
        <w:pStyle w:val="Heading3"/>
      </w:pPr>
      <w:r w:rsidRPr="00625DE6">
        <w:rPr>
          <w:rStyle w:val="Heading3Char"/>
          <w:b/>
        </w:rPr>
        <w:t>Unit IV:</w:t>
      </w:r>
      <w:r w:rsidRPr="00625DE6">
        <w:t xml:space="preserve"> </w:t>
      </w:r>
      <w:r w:rsidRPr="00625DE6">
        <w:rPr>
          <w:rStyle w:val="Emphasis"/>
          <w:rFonts w:ascii="Cambria" w:hAnsi="Cambria"/>
          <w:b/>
          <w:i w:val="0"/>
          <w:iCs w:val="0"/>
        </w:rPr>
        <w:t>Infection Control</w:t>
      </w:r>
    </w:p>
    <w:p w:rsidR="006D21AD" w:rsidRPr="000E229F" w:rsidRDefault="006D21AD" w:rsidP="00ED1079">
      <w:pPr>
        <w:rPr>
          <w:rFonts w:eastAsia="Calibri"/>
        </w:rPr>
      </w:pPr>
      <w:r w:rsidRPr="000E229F">
        <w:rPr>
          <w:rFonts w:eastAsia="Calibri"/>
        </w:rPr>
        <w:t>At the completion of this unit of study, the student should practice the principles of infection control while preparing and administering medications.</w:t>
      </w:r>
    </w:p>
    <w:p w:rsidR="006D21AD" w:rsidRPr="00625DE6" w:rsidRDefault="006D21AD" w:rsidP="00625DE6">
      <w:pPr>
        <w:pStyle w:val="Heading3"/>
      </w:pPr>
      <w:r w:rsidRPr="00625DE6">
        <w:rPr>
          <w:rStyle w:val="Heading3Char"/>
          <w:b/>
        </w:rPr>
        <w:t>Unit V:</w:t>
      </w:r>
      <w:r w:rsidRPr="00625DE6">
        <w:t xml:space="preserve"> </w:t>
      </w:r>
      <w:r w:rsidRPr="00625DE6">
        <w:rPr>
          <w:rStyle w:val="Emphasis"/>
          <w:rFonts w:ascii="Cambria" w:hAnsi="Cambria"/>
          <w:b/>
          <w:i w:val="0"/>
          <w:iCs w:val="0"/>
        </w:rPr>
        <w:t>Medication Administration Supplies</w:t>
      </w:r>
    </w:p>
    <w:p w:rsidR="006D21AD" w:rsidRPr="000E229F" w:rsidRDefault="006D21AD" w:rsidP="00ED1079">
      <w:pPr>
        <w:spacing w:line="240" w:lineRule="auto"/>
        <w:rPr>
          <w:rFonts w:eastAsia="Calibri" w:cs="Times New Roman"/>
          <w:szCs w:val="24"/>
        </w:rPr>
      </w:pPr>
      <w:r w:rsidRPr="000E229F">
        <w:rPr>
          <w:rFonts w:eastAsia="Calibri" w:cs="Times New Roman"/>
          <w:szCs w:val="24"/>
        </w:rPr>
        <w:t>At the completion of this unit of study, the student should:</w:t>
      </w:r>
    </w:p>
    <w:p w:rsidR="006D21AD" w:rsidRPr="000E229F" w:rsidRDefault="006D21AD" w:rsidP="006D21AD">
      <w:pPr>
        <w:spacing w:line="240" w:lineRule="auto"/>
        <w:rPr>
          <w:rFonts w:eastAsia="Calibri" w:cs="Times New Roman"/>
        </w:rPr>
      </w:pPr>
    </w:p>
    <w:p w:rsidR="006D21AD" w:rsidRPr="000E229F" w:rsidRDefault="006D21AD" w:rsidP="000E229F">
      <w:pPr>
        <w:pStyle w:val="ListParagraph"/>
        <w:numPr>
          <w:ilvl w:val="0"/>
          <w:numId w:val="26"/>
        </w:numPr>
        <w:ind w:left="648"/>
        <w:rPr>
          <w:rFonts w:eastAsia="Calibri"/>
        </w:rPr>
      </w:pPr>
      <w:r w:rsidRPr="000E229F">
        <w:rPr>
          <w:rFonts w:eastAsia="Calibri"/>
        </w:rPr>
        <w:t>Demonstrate the skills of general medication administration.</w:t>
      </w:r>
    </w:p>
    <w:p w:rsidR="006D21AD" w:rsidRPr="000E229F" w:rsidRDefault="006D21AD" w:rsidP="000E229F">
      <w:pPr>
        <w:pStyle w:val="ListParagraph"/>
        <w:numPr>
          <w:ilvl w:val="0"/>
          <w:numId w:val="26"/>
        </w:numPr>
        <w:ind w:left="648"/>
        <w:rPr>
          <w:rFonts w:eastAsia="Calibri"/>
        </w:rPr>
      </w:pPr>
      <w:r w:rsidRPr="000E229F">
        <w:rPr>
          <w:rFonts w:eastAsia="Calibri"/>
        </w:rPr>
        <w:lastRenderedPageBreak/>
        <w:t xml:space="preserve">Administer oral, eye, ear, nasal, inhalant, transdermal, topical, buccal, sublingual, vaginal and rectal medications by using </w:t>
      </w:r>
      <w:r w:rsidRPr="000E229F">
        <w:rPr>
          <w:rStyle w:val="Strong"/>
        </w:rPr>
        <w:t>the SIX RIGHTS</w:t>
      </w:r>
      <w:r w:rsidRPr="000E229F">
        <w:rPr>
          <w:rFonts w:eastAsia="Calibri"/>
          <w:b/>
        </w:rPr>
        <w:t>.</w:t>
      </w:r>
    </w:p>
    <w:p w:rsidR="0041016C" w:rsidRPr="00BE2A18" w:rsidRDefault="0041016C" w:rsidP="000E229F">
      <w:pPr>
        <w:pStyle w:val="Heading2"/>
      </w:pPr>
      <w:r w:rsidRPr="00BE2A18">
        <w:t>Prerequisite</w:t>
      </w:r>
    </w:p>
    <w:p w:rsidR="0041016C" w:rsidRDefault="00D03537" w:rsidP="000E229F">
      <w:pPr>
        <w:spacing w:line="240" w:lineRule="auto"/>
        <w:rPr>
          <w:rFonts w:ascii="Times New Roman" w:hAnsi="Times New Roman" w:cs="Times New Roman"/>
        </w:rPr>
      </w:pPr>
      <w:r>
        <w:rPr>
          <w:rFonts w:ascii="Times New Roman" w:hAnsi="Times New Roman" w:cs="Times New Roman"/>
        </w:rPr>
        <w:t>None</w:t>
      </w:r>
    </w:p>
    <w:p w:rsidR="0041016C" w:rsidRPr="00BE2A18" w:rsidRDefault="0041016C" w:rsidP="000E229F">
      <w:pPr>
        <w:pStyle w:val="Heading2"/>
      </w:pPr>
      <w:r w:rsidRPr="00BE2A18">
        <w:t>Co-requisite</w:t>
      </w:r>
    </w:p>
    <w:p w:rsidR="0041016C" w:rsidRDefault="00D03537" w:rsidP="000E229F">
      <w:pPr>
        <w:spacing w:line="240" w:lineRule="auto"/>
        <w:rPr>
          <w:rFonts w:ascii="Times New Roman" w:hAnsi="Times New Roman" w:cs="Times New Roman"/>
        </w:rPr>
      </w:pPr>
      <w:r>
        <w:rPr>
          <w:rFonts w:ascii="Times New Roman" w:hAnsi="Times New Roman" w:cs="Times New Roman"/>
        </w:rPr>
        <w:t>None</w:t>
      </w:r>
    </w:p>
    <w:p w:rsidR="0041016C" w:rsidRPr="00BE2A18" w:rsidRDefault="0041016C" w:rsidP="0041016C">
      <w:pPr>
        <w:spacing w:line="240" w:lineRule="auto"/>
        <w:rPr>
          <w:rFonts w:ascii="Times New Roman" w:hAnsi="Times New Roman" w:cs="Times New Roman"/>
        </w:rPr>
      </w:pPr>
    </w:p>
    <w:p w:rsidR="00D03537" w:rsidRPr="00D03537" w:rsidRDefault="00D03537" w:rsidP="000E229F">
      <w:pPr>
        <w:pStyle w:val="Heading2"/>
      </w:pPr>
      <w:r>
        <w:t>Required Textbook</w:t>
      </w:r>
    </w:p>
    <w:p w:rsidR="00D03537" w:rsidRPr="00D03537" w:rsidRDefault="00D03537" w:rsidP="00D03537">
      <w:pPr>
        <w:spacing w:after="200" w:line="252" w:lineRule="auto"/>
        <w:rPr>
          <w:rFonts w:ascii="Constantia" w:hAnsi="Constantia"/>
          <w:i/>
        </w:rPr>
      </w:pPr>
      <w:r w:rsidRPr="00D03537">
        <w:rPr>
          <w:rFonts w:ascii="Constantia" w:hAnsi="Constantia"/>
          <w:i/>
        </w:rPr>
        <w:t xml:space="preserve"> </w:t>
      </w:r>
    </w:p>
    <w:p w:rsidR="00D03537" w:rsidRDefault="0041016C" w:rsidP="000E229F">
      <w:pPr>
        <w:pStyle w:val="Heading2"/>
      </w:pPr>
      <w:r w:rsidRPr="00577697">
        <w:t>Other Required Materials/Software</w:t>
      </w:r>
    </w:p>
    <w:p w:rsidR="00D03537" w:rsidRPr="00D03537" w:rsidRDefault="00933161" w:rsidP="000E229F">
      <w:pPr>
        <w:rPr>
          <w:rFonts w:ascii="Times New Roman" w:hAnsi="Times New Roman" w:cs="Times New Roman"/>
          <w:bCs/>
          <w:color w:val="000000"/>
          <w:sz w:val="20"/>
          <w:szCs w:val="17"/>
        </w:rPr>
      </w:pPr>
      <w:r>
        <w:rPr>
          <w:rFonts w:ascii="Times New Roman" w:hAnsi="Times New Roman" w:cs="Times New Roman"/>
          <w:bCs/>
          <w:color w:val="000000"/>
          <w:szCs w:val="29"/>
        </w:rPr>
        <w:t>None</w:t>
      </w:r>
    </w:p>
    <w:p w:rsidR="0041016C" w:rsidRPr="0035137E" w:rsidRDefault="0041016C" w:rsidP="000E229F">
      <w:pPr>
        <w:pStyle w:val="Heading2"/>
      </w:pPr>
      <w:r w:rsidRPr="00BE2A18">
        <w:t xml:space="preserve">Course </w:t>
      </w:r>
      <w:r w:rsidR="005A11D2">
        <w:t xml:space="preserve">Grading </w:t>
      </w:r>
      <w:r w:rsidRPr="00BE2A18">
        <w:t>Requirements</w:t>
      </w:r>
    </w:p>
    <w:p w:rsidR="0041016C" w:rsidRDefault="0008028F" w:rsidP="0041016C">
      <w:pPr>
        <w:spacing w:line="276" w:lineRule="auto"/>
        <w:rPr>
          <w:rStyle w:val="Emphasis"/>
          <w:b w:val="0"/>
        </w:rPr>
      </w:pPr>
      <w:r w:rsidRPr="000E229F">
        <w:rPr>
          <w:rStyle w:val="Emphasis"/>
          <w:b w:val="0"/>
        </w:rPr>
        <w:t>Final Grade will be determined as follows:</w:t>
      </w:r>
    </w:p>
    <w:tbl>
      <w:tblPr>
        <w:tblStyle w:val="TableGrid"/>
        <w:tblW w:w="0" w:type="auto"/>
        <w:tblLook w:val="04A0" w:firstRow="1" w:lastRow="0" w:firstColumn="1" w:lastColumn="0" w:noHBand="0" w:noVBand="1"/>
        <w:tblCaption w:val="Course Gade Requirements Table"/>
        <w:tblDescription w:val="The graded requirements of the course and the percentage of the grade associated with the requirements."/>
      </w:tblPr>
      <w:tblGrid>
        <w:gridCol w:w="3325"/>
        <w:gridCol w:w="3420"/>
      </w:tblGrid>
      <w:tr w:rsidR="005A11D2" w:rsidTr="00604C3E">
        <w:trPr>
          <w:tblHeader/>
        </w:trPr>
        <w:tc>
          <w:tcPr>
            <w:tcW w:w="3325" w:type="dxa"/>
          </w:tcPr>
          <w:p w:rsidR="005A11D2" w:rsidRDefault="005A11D2" w:rsidP="00604C3E">
            <w:pPr>
              <w:pStyle w:val="Heading3"/>
              <w:outlineLvl w:val="2"/>
            </w:pPr>
            <w:r>
              <w:t>Graded Requirements</w:t>
            </w:r>
          </w:p>
        </w:tc>
        <w:tc>
          <w:tcPr>
            <w:tcW w:w="3420" w:type="dxa"/>
          </w:tcPr>
          <w:p w:rsidR="005A11D2" w:rsidRDefault="005A11D2" w:rsidP="00604C3E">
            <w:pPr>
              <w:pStyle w:val="Heading3"/>
              <w:outlineLvl w:val="2"/>
            </w:pPr>
            <w:r>
              <w:t>Percentage</w:t>
            </w:r>
          </w:p>
        </w:tc>
      </w:tr>
      <w:tr w:rsidR="005A11D2" w:rsidTr="00604C3E">
        <w:tc>
          <w:tcPr>
            <w:tcW w:w="3325" w:type="dxa"/>
          </w:tcPr>
          <w:p w:rsidR="005A11D2" w:rsidRPr="001B13A8" w:rsidRDefault="005A11D2" w:rsidP="005A11D2">
            <w:pPr>
              <w:spacing w:line="276" w:lineRule="auto"/>
            </w:pPr>
            <w:r w:rsidRPr="001B13A8">
              <w:t>Assignments/Quizzes</w:t>
            </w:r>
          </w:p>
        </w:tc>
        <w:tc>
          <w:tcPr>
            <w:tcW w:w="3420" w:type="dxa"/>
          </w:tcPr>
          <w:p w:rsidR="005A11D2" w:rsidRPr="001B13A8" w:rsidRDefault="005A11D2" w:rsidP="00604C3E">
            <w:pPr>
              <w:spacing w:line="276" w:lineRule="auto"/>
            </w:pPr>
            <w:r w:rsidRPr="001B13A8">
              <w:t>10%</w:t>
            </w:r>
          </w:p>
        </w:tc>
      </w:tr>
      <w:tr w:rsidR="005A11D2" w:rsidTr="00604C3E">
        <w:tc>
          <w:tcPr>
            <w:tcW w:w="3325" w:type="dxa"/>
          </w:tcPr>
          <w:p w:rsidR="005A11D2" w:rsidRDefault="005A11D2" w:rsidP="00604C3E">
            <w:pPr>
              <w:spacing w:line="276" w:lineRule="auto"/>
            </w:pPr>
            <w:r>
              <w:t>Skills Competency Exam</w:t>
            </w:r>
          </w:p>
        </w:tc>
        <w:tc>
          <w:tcPr>
            <w:tcW w:w="3420" w:type="dxa"/>
          </w:tcPr>
          <w:p w:rsidR="005A11D2" w:rsidRPr="001B13A8" w:rsidRDefault="005A11D2" w:rsidP="00604C3E">
            <w:pPr>
              <w:spacing w:line="276" w:lineRule="auto"/>
            </w:pPr>
            <w:r>
              <w:t>40%</w:t>
            </w:r>
          </w:p>
        </w:tc>
      </w:tr>
      <w:tr w:rsidR="005A11D2" w:rsidTr="00604C3E">
        <w:tc>
          <w:tcPr>
            <w:tcW w:w="3325" w:type="dxa"/>
          </w:tcPr>
          <w:p w:rsidR="005A11D2" w:rsidRPr="001B13A8" w:rsidRDefault="005A11D2" w:rsidP="00604C3E">
            <w:pPr>
              <w:spacing w:line="276" w:lineRule="auto"/>
            </w:pPr>
            <w:r>
              <w:t>Written Exam</w:t>
            </w:r>
          </w:p>
        </w:tc>
        <w:tc>
          <w:tcPr>
            <w:tcW w:w="3420" w:type="dxa"/>
          </w:tcPr>
          <w:p w:rsidR="005A11D2" w:rsidRPr="001B13A8" w:rsidRDefault="005A11D2" w:rsidP="00604C3E">
            <w:pPr>
              <w:spacing w:line="276" w:lineRule="auto"/>
            </w:pPr>
            <w:r>
              <w:t>50</w:t>
            </w:r>
            <w:r w:rsidRPr="001B13A8">
              <w:t>%</w:t>
            </w:r>
          </w:p>
        </w:tc>
      </w:tr>
      <w:tr w:rsidR="005A11D2" w:rsidTr="00604C3E">
        <w:tc>
          <w:tcPr>
            <w:tcW w:w="3325" w:type="dxa"/>
          </w:tcPr>
          <w:p w:rsidR="005A11D2" w:rsidRPr="001B13A8" w:rsidRDefault="005A11D2" w:rsidP="00604C3E">
            <w:pPr>
              <w:spacing w:line="276" w:lineRule="auto"/>
            </w:pPr>
            <w:r w:rsidRPr="001B13A8">
              <w:rPr>
                <w:rStyle w:val="Strong"/>
              </w:rPr>
              <w:t>TOTAL</w:t>
            </w:r>
          </w:p>
        </w:tc>
        <w:tc>
          <w:tcPr>
            <w:tcW w:w="3420" w:type="dxa"/>
          </w:tcPr>
          <w:p w:rsidR="005A11D2" w:rsidRPr="001B13A8" w:rsidRDefault="005A11D2" w:rsidP="00604C3E">
            <w:pPr>
              <w:spacing w:line="276" w:lineRule="auto"/>
            </w:pPr>
            <w:r w:rsidRPr="001B13A8">
              <w:rPr>
                <w:rStyle w:val="Strong"/>
              </w:rPr>
              <w:t>100%</w:t>
            </w:r>
          </w:p>
        </w:tc>
      </w:tr>
    </w:tbl>
    <w:p w:rsidR="005A11D2" w:rsidRPr="000E229F" w:rsidRDefault="005A11D2" w:rsidP="0041016C">
      <w:pPr>
        <w:spacing w:line="276" w:lineRule="auto"/>
        <w:rPr>
          <w:rStyle w:val="Emphasis"/>
          <w:b w:val="0"/>
        </w:rPr>
      </w:pPr>
    </w:p>
    <w:p w:rsidR="0008028F" w:rsidRPr="000E229F" w:rsidRDefault="0008028F" w:rsidP="000E229F">
      <w:pPr>
        <w:spacing w:line="276" w:lineRule="auto"/>
        <w:rPr>
          <w:rStyle w:val="IntenseEmphasis"/>
        </w:rPr>
      </w:pPr>
      <w:r w:rsidRPr="000E229F">
        <w:rPr>
          <w:rStyle w:val="IntenseEmphasis"/>
        </w:rPr>
        <w:t xml:space="preserve">Late assignments will not be accepted without prior permission by the instructor. Late assignments that are allowed to be submitted will have a 10 point deduction for every day past the due date they are late. </w:t>
      </w:r>
    </w:p>
    <w:p w:rsidR="0041016C" w:rsidRPr="00BE2A18" w:rsidRDefault="0041016C" w:rsidP="000E229F">
      <w:pPr>
        <w:pStyle w:val="Heading2"/>
        <w:spacing w:before="240" w:line="240" w:lineRule="auto"/>
      </w:pPr>
      <w:r w:rsidRPr="00577697">
        <w:t>Grading Policy/Criteria</w:t>
      </w:r>
    </w:p>
    <w:p w:rsidR="0008028F" w:rsidRDefault="0041016C" w:rsidP="005A11D2">
      <w:pPr>
        <w:pStyle w:val="Heading3"/>
        <w:ind w:left="288"/>
      </w:pPr>
      <w:r>
        <w:t xml:space="preserve">Nurse Aide </w:t>
      </w:r>
      <w:r w:rsidRPr="00BE2A18">
        <w:t xml:space="preserve">Grade Scale: </w:t>
      </w:r>
    </w:p>
    <w:tbl>
      <w:tblPr>
        <w:tblStyle w:val="TableGrid"/>
        <w:tblW w:w="0" w:type="auto"/>
        <w:tblInd w:w="288" w:type="dxa"/>
        <w:tblLook w:val="04A0" w:firstRow="1" w:lastRow="0" w:firstColumn="1" w:lastColumn="0" w:noHBand="0" w:noVBand="1"/>
        <w:tblCaption w:val="Grading Scale"/>
        <w:tblDescription w:val="Grade range with corresponding letter grade"/>
      </w:tblPr>
      <w:tblGrid>
        <w:gridCol w:w="1687"/>
        <w:gridCol w:w="1800"/>
      </w:tblGrid>
      <w:tr w:rsidR="005A11D2" w:rsidTr="00604C3E">
        <w:trPr>
          <w:tblHeader/>
        </w:trPr>
        <w:tc>
          <w:tcPr>
            <w:tcW w:w="1687" w:type="dxa"/>
          </w:tcPr>
          <w:p w:rsidR="005A11D2" w:rsidRPr="00855DCA" w:rsidRDefault="005A11D2" w:rsidP="00604C3E">
            <w:pPr>
              <w:pStyle w:val="Heading4"/>
              <w:outlineLvl w:val="3"/>
              <w:rPr>
                <w:b/>
              </w:rPr>
            </w:pPr>
            <w:r w:rsidRPr="00855DCA">
              <w:rPr>
                <w:b/>
              </w:rPr>
              <w:t>Grade Range</w:t>
            </w:r>
          </w:p>
        </w:tc>
        <w:tc>
          <w:tcPr>
            <w:tcW w:w="1800" w:type="dxa"/>
          </w:tcPr>
          <w:p w:rsidR="005A11D2" w:rsidRPr="00855DCA" w:rsidRDefault="005A11D2" w:rsidP="00604C3E">
            <w:pPr>
              <w:pStyle w:val="Heading4"/>
              <w:outlineLvl w:val="3"/>
              <w:rPr>
                <w:b/>
              </w:rPr>
            </w:pPr>
            <w:r w:rsidRPr="00855DCA">
              <w:rPr>
                <w:b/>
              </w:rPr>
              <w:t>Letter Grade</w:t>
            </w:r>
          </w:p>
        </w:tc>
      </w:tr>
      <w:tr w:rsidR="005A11D2" w:rsidTr="00604C3E">
        <w:tc>
          <w:tcPr>
            <w:tcW w:w="1687" w:type="dxa"/>
          </w:tcPr>
          <w:p w:rsidR="005A11D2" w:rsidRDefault="005A11D2" w:rsidP="00604C3E">
            <w:pPr>
              <w:spacing w:line="276" w:lineRule="auto"/>
              <w:rPr>
                <w:rFonts w:ascii="Times New Roman" w:hAnsi="Times New Roman"/>
              </w:rPr>
            </w:pPr>
            <w:r>
              <w:rPr>
                <w:rFonts w:ascii="Times New Roman" w:hAnsi="Times New Roman"/>
              </w:rPr>
              <w:t>100-90</w:t>
            </w:r>
          </w:p>
        </w:tc>
        <w:tc>
          <w:tcPr>
            <w:tcW w:w="1800" w:type="dxa"/>
          </w:tcPr>
          <w:p w:rsidR="005A11D2" w:rsidRDefault="005A11D2" w:rsidP="00604C3E">
            <w:pPr>
              <w:spacing w:line="276" w:lineRule="auto"/>
              <w:rPr>
                <w:rFonts w:ascii="Times New Roman" w:hAnsi="Times New Roman"/>
              </w:rPr>
            </w:pPr>
            <w:r>
              <w:rPr>
                <w:rFonts w:ascii="Times New Roman" w:hAnsi="Times New Roman"/>
              </w:rPr>
              <w:t>A</w:t>
            </w:r>
          </w:p>
        </w:tc>
      </w:tr>
      <w:tr w:rsidR="005A11D2" w:rsidTr="00604C3E">
        <w:tc>
          <w:tcPr>
            <w:tcW w:w="1687" w:type="dxa"/>
          </w:tcPr>
          <w:p w:rsidR="005A11D2" w:rsidRDefault="005A11D2" w:rsidP="00604C3E">
            <w:pPr>
              <w:spacing w:line="276" w:lineRule="auto"/>
              <w:rPr>
                <w:rFonts w:ascii="Times New Roman" w:hAnsi="Times New Roman"/>
              </w:rPr>
            </w:pPr>
            <w:r>
              <w:rPr>
                <w:rFonts w:ascii="Times New Roman" w:hAnsi="Times New Roman"/>
              </w:rPr>
              <w:t>80-89</w:t>
            </w:r>
          </w:p>
        </w:tc>
        <w:tc>
          <w:tcPr>
            <w:tcW w:w="1800" w:type="dxa"/>
          </w:tcPr>
          <w:p w:rsidR="005A11D2" w:rsidRDefault="005A11D2" w:rsidP="00604C3E">
            <w:pPr>
              <w:spacing w:line="276" w:lineRule="auto"/>
              <w:rPr>
                <w:rFonts w:ascii="Times New Roman" w:hAnsi="Times New Roman"/>
              </w:rPr>
            </w:pPr>
            <w:r>
              <w:rPr>
                <w:rFonts w:ascii="Times New Roman" w:hAnsi="Times New Roman"/>
              </w:rPr>
              <w:t>B</w:t>
            </w:r>
          </w:p>
        </w:tc>
      </w:tr>
      <w:tr w:rsidR="005A11D2" w:rsidTr="00604C3E">
        <w:tc>
          <w:tcPr>
            <w:tcW w:w="1687" w:type="dxa"/>
          </w:tcPr>
          <w:p w:rsidR="005A11D2" w:rsidRDefault="005A11D2" w:rsidP="00604C3E">
            <w:pPr>
              <w:spacing w:line="276" w:lineRule="auto"/>
              <w:rPr>
                <w:rFonts w:ascii="Times New Roman" w:hAnsi="Times New Roman"/>
              </w:rPr>
            </w:pPr>
            <w:r>
              <w:rPr>
                <w:rFonts w:ascii="Times New Roman" w:hAnsi="Times New Roman"/>
              </w:rPr>
              <w:t>70-79</w:t>
            </w:r>
          </w:p>
        </w:tc>
        <w:tc>
          <w:tcPr>
            <w:tcW w:w="1800" w:type="dxa"/>
          </w:tcPr>
          <w:p w:rsidR="005A11D2" w:rsidRDefault="005A11D2" w:rsidP="00604C3E">
            <w:pPr>
              <w:spacing w:line="276" w:lineRule="auto"/>
              <w:rPr>
                <w:rFonts w:ascii="Times New Roman" w:hAnsi="Times New Roman"/>
              </w:rPr>
            </w:pPr>
            <w:r>
              <w:rPr>
                <w:rFonts w:ascii="Times New Roman" w:hAnsi="Times New Roman"/>
              </w:rPr>
              <w:t>C</w:t>
            </w:r>
          </w:p>
        </w:tc>
      </w:tr>
      <w:tr w:rsidR="005A11D2" w:rsidTr="00604C3E">
        <w:tc>
          <w:tcPr>
            <w:tcW w:w="1687" w:type="dxa"/>
          </w:tcPr>
          <w:p w:rsidR="005A11D2" w:rsidRDefault="005A11D2" w:rsidP="005A11D2">
            <w:pPr>
              <w:spacing w:line="276" w:lineRule="auto"/>
              <w:rPr>
                <w:rFonts w:ascii="Times New Roman" w:hAnsi="Times New Roman"/>
              </w:rPr>
            </w:pPr>
            <w:r>
              <w:rPr>
                <w:rFonts w:ascii="Times New Roman" w:hAnsi="Times New Roman"/>
              </w:rPr>
              <w:t>60-69</w:t>
            </w:r>
          </w:p>
        </w:tc>
        <w:tc>
          <w:tcPr>
            <w:tcW w:w="1800" w:type="dxa"/>
          </w:tcPr>
          <w:p w:rsidR="005A11D2" w:rsidRDefault="005A11D2" w:rsidP="00604C3E">
            <w:pPr>
              <w:spacing w:line="276" w:lineRule="auto"/>
              <w:rPr>
                <w:rFonts w:ascii="Times New Roman" w:hAnsi="Times New Roman"/>
              </w:rPr>
            </w:pPr>
            <w:r>
              <w:rPr>
                <w:rFonts w:ascii="Times New Roman" w:hAnsi="Times New Roman"/>
              </w:rPr>
              <w:t>D</w:t>
            </w:r>
          </w:p>
        </w:tc>
      </w:tr>
      <w:tr w:rsidR="005A11D2" w:rsidTr="00604C3E">
        <w:tc>
          <w:tcPr>
            <w:tcW w:w="1687" w:type="dxa"/>
          </w:tcPr>
          <w:p w:rsidR="005A11D2" w:rsidRDefault="005A11D2" w:rsidP="005A11D2">
            <w:pPr>
              <w:spacing w:line="276" w:lineRule="auto"/>
              <w:rPr>
                <w:rFonts w:ascii="Times New Roman" w:hAnsi="Times New Roman"/>
              </w:rPr>
            </w:pPr>
            <w:r>
              <w:rPr>
                <w:rFonts w:ascii="Times New Roman" w:hAnsi="Times New Roman"/>
              </w:rPr>
              <w:t>Below 59</w:t>
            </w:r>
          </w:p>
        </w:tc>
        <w:tc>
          <w:tcPr>
            <w:tcW w:w="1800" w:type="dxa"/>
          </w:tcPr>
          <w:p w:rsidR="005A11D2" w:rsidRDefault="005A11D2" w:rsidP="00604C3E">
            <w:pPr>
              <w:spacing w:line="276" w:lineRule="auto"/>
              <w:rPr>
                <w:rFonts w:ascii="Times New Roman" w:hAnsi="Times New Roman"/>
              </w:rPr>
            </w:pPr>
            <w:r>
              <w:rPr>
                <w:rFonts w:ascii="Times New Roman" w:hAnsi="Times New Roman"/>
              </w:rPr>
              <w:t>F</w:t>
            </w:r>
          </w:p>
        </w:tc>
      </w:tr>
    </w:tbl>
    <w:p w:rsidR="0041016C" w:rsidRPr="00BE2A18" w:rsidRDefault="0041016C" w:rsidP="000E229F">
      <w:pPr>
        <w:pStyle w:val="Heading2"/>
        <w:spacing w:before="240" w:line="240" w:lineRule="auto"/>
      </w:pPr>
      <w:r w:rsidRPr="00BE2A18">
        <w:t>Tentative Reading and Exam Schedule:</w:t>
      </w:r>
    </w:p>
    <w:p w:rsidR="0041016C" w:rsidRPr="00C3498D" w:rsidRDefault="0041016C" w:rsidP="000E229F">
      <w:pPr>
        <w:rPr>
          <w:rStyle w:val="SubtleEmphasis"/>
        </w:rPr>
      </w:pPr>
      <w:r w:rsidRPr="00C3498D">
        <w:rPr>
          <w:rStyle w:val="SubtleEmphasis"/>
        </w:rPr>
        <w:t>See attached outline</w:t>
      </w:r>
    </w:p>
    <w:p w:rsidR="0008028F" w:rsidRPr="0008028F" w:rsidRDefault="0008028F" w:rsidP="000E229F">
      <w:pPr>
        <w:pStyle w:val="Heading2"/>
        <w:spacing w:before="240" w:line="240" w:lineRule="auto"/>
      </w:pPr>
      <w:r w:rsidRPr="0008028F">
        <w:lastRenderedPageBreak/>
        <w:t>Withdrawal</w:t>
      </w:r>
    </w:p>
    <w:p w:rsidR="0008028F" w:rsidRPr="000E229F" w:rsidRDefault="0008028F" w:rsidP="000E229F">
      <w:pPr>
        <w:rPr>
          <w:u w:val="single"/>
        </w:rPr>
      </w:pPr>
      <w:r w:rsidRPr="000E229F">
        <w:t xml:space="preserve">The last day to Withdraw from this class with a grade of “W” is </w:t>
      </w:r>
      <w:r w:rsidR="00933161" w:rsidRPr="000E229F">
        <w:rPr>
          <w:u w:val="single"/>
        </w:rPr>
        <w:t>February 13</w:t>
      </w:r>
      <w:r w:rsidRPr="000E229F">
        <w:rPr>
          <w:u w:val="single"/>
        </w:rPr>
        <w:t>, 2017</w:t>
      </w:r>
    </w:p>
    <w:p w:rsidR="00835922" w:rsidRPr="00BE2A18" w:rsidRDefault="00835922" w:rsidP="00625DE6">
      <w:pPr>
        <w:pStyle w:val="Heading2"/>
      </w:pPr>
      <w:r w:rsidRPr="00577697">
        <w:t>Class Attendance</w:t>
      </w:r>
      <w:r w:rsidRPr="00BE2A18">
        <w:t xml:space="preserve"> </w:t>
      </w:r>
    </w:p>
    <w:p w:rsidR="00835922" w:rsidRDefault="00835922" w:rsidP="00C3498D">
      <w:r>
        <w:t xml:space="preserve">The RCC Attendance Policy and Procedure is outlined in the </w:t>
      </w:r>
      <w:r>
        <w:rPr>
          <w:i/>
        </w:rPr>
        <w:t>RCC Catalog &amp; Student Handbook.</w:t>
      </w:r>
      <w:r>
        <w:t xml:space="preserve"> Students must attend 75% of the required contact hours for a class in order to recei</w:t>
      </w:r>
      <w:r w:rsidR="00290528">
        <w:t>ve credit for the class. NAS 107 is a 32</w:t>
      </w:r>
      <w:r>
        <w:t xml:space="preserve"> contact hour course.</w:t>
      </w:r>
    </w:p>
    <w:p w:rsidR="00835922" w:rsidRDefault="00290528" w:rsidP="00C3498D">
      <w:r>
        <w:t>25% = 8</w:t>
      </w:r>
      <w:r w:rsidR="00933161">
        <w:t xml:space="preserve"> hours</w:t>
      </w:r>
      <w:r w:rsidR="00835922">
        <w:t xml:space="preserve"> </w:t>
      </w:r>
    </w:p>
    <w:p w:rsidR="00835922" w:rsidRDefault="00835922" w:rsidP="00625DE6">
      <w:pPr>
        <w:pStyle w:val="Heading3"/>
      </w:pPr>
      <w:r>
        <w:t>Tardy</w:t>
      </w:r>
    </w:p>
    <w:p w:rsidR="00835922" w:rsidRPr="00835922" w:rsidRDefault="00835922" w:rsidP="00C3498D">
      <w:r w:rsidRPr="00835922">
        <w:t xml:space="preserve">Students must attend 80% of the time scheduled for a regular class meeting to be counted present when the class meets. The College defines a tardy as a student entering class after the roll is checked or after instruction has begun, and it shall also be defined as a student leaving class early regardless of the reason. Thus, if a student is in class for 80% of the time but less than 100% of the meeting time, then the student shall be counted tardy. Moreover, if a student is in class less than 80% of the scheduled class time, he/she will be marked absent. These absences will count toward overall attendance for the class as outlined above. Furthermore, three tardies constitutes a recorded absence. </w:t>
      </w:r>
    </w:p>
    <w:p w:rsidR="00835922" w:rsidRPr="00C3498D" w:rsidRDefault="00835922" w:rsidP="00835922">
      <w:pPr>
        <w:spacing w:after="200" w:line="252" w:lineRule="auto"/>
        <w:rPr>
          <w:rStyle w:val="IntenseEmphasis"/>
        </w:rPr>
      </w:pPr>
      <w:r w:rsidRPr="00C3498D">
        <w:rPr>
          <w:rStyle w:val="IntenseEmphasis"/>
        </w:rPr>
        <w:t>Application</w:t>
      </w:r>
      <w:r w:rsidR="00290528" w:rsidRPr="00C3498D">
        <w:rPr>
          <w:rStyle w:val="IntenseEmphasis"/>
        </w:rPr>
        <w:t xml:space="preserve"> of the tardy policy for NAS 107</w:t>
      </w:r>
      <w:r w:rsidRPr="00C3498D">
        <w:rPr>
          <w:rStyle w:val="IntenseEmphasis"/>
        </w:rPr>
        <w:t xml:space="preserve"> is outlined below:</w:t>
      </w:r>
    </w:p>
    <w:p w:rsidR="0008028F" w:rsidRDefault="00835922" w:rsidP="00C3498D">
      <w:r w:rsidRPr="00835922">
        <w:t>For a class with a</w:t>
      </w:r>
      <w:r w:rsidR="00933161">
        <w:t xml:space="preserve"> scheduled meeting time of 100 </w:t>
      </w:r>
      <w:r w:rsidRPr="00835922">
        <w:t xml:space="preserve">minutes, a student who </w:t>
      </w:r>
      <w:r w:rsidRPr="00C3498D">
        <w:rPr>
          <w:rStyle w:val="Emphasis"/>
        </w:rPr>
        <w:t xml:space="preserve">arrives late, leaves for a length of time during class </w:t>
      </w:r>
      <w:r w:rsidRPr="00835922">
        <w:t xml:space="preserve">or </w:t>
      </w:r>
      <w:r w:rsidRPr="00C3498D">
        <w:rPr>
          <w:rStyle w:val="Emphasis"/>
        </w:rPr>
        <w:t>leaves class early</w:t>
      </w:r>
      <w:r w:rsidRPr="00835922">
        <w:t xml:space="preserve">, totaling between </w:t>
      </w:r>
      <w:r w:rsidRPr="00C3498D">
        <w:rPr>
          <w:rStyle w:val="Emphasis"/>
        </w:rPr>
        <w:t>1- 10 minutes</w:t>
      </w:r>
      <w:r w:rsidRPr="00835922">
        <w:t xml:space="preserve">, is marked </w:t>
      </w:r>
      <w:r w:rsidRPr="00C3498D">
        <w:rPr>
          <w:rStyle w:val="IntenseEmphasis"/>
        </w:rPr>
        <w:t>tardy</w:t>
      </w:r>
      <w:r w:rsidRPr="00835922">
        <w:t xml:space="preserve"> for that class meeting.  If the student </w:t>
      </w:r>
      <w:r w:rsidRPr="00C3498D">
        <w:rPr>
          <w:rStyle w:val="Emphasis"/>
        </w:rPr>
        <w:t>arrives late, leaves for a length of time during class</w:t>
      </w:r>
      <w:r w:rsidRPr="00835922">
        <w:rPr>
          <w:u w:val="single"/>
        </w:rPr>
        <w:t>,</w:t>
      </w:r>
      <w:r w:rsidRPr="00835922">
        <w:t xml:space="preserve"> or </w:t>
      </w:r>
      <w:r w:rsidRPr="00C3498D">
        <w:rPr>
          <w:rStyle w:val="Emphasis"/>
        </w:rPr>
        <w:t>leaves class early</w:t>
      </w:r>
      <w:r w:rsidRPr="00835922">
        <w:t xml:space="preserve">, or any combination of these totaling </w:t>
      </w:r>
      <w:r w:rsidRPr="00C3498D">
        <w:rPr>
          <w:rStyle w:val="Emphasis"/>
        </w:rPr>
        <w:t>11 minutes or more</w:t>
      </w:r>
      <w:r w:rsidRPr="00835922">
        <w:t xml:space="preserve">, the student is marked </w:t>
      </w:r>
      <w:r w:rsidRPr="00C3498D">
        <w:rPr>
          <w:rStyle w:val="IntenseEmphasis"/>
        </w:rPr>
        <w:t>absent</w:t>
      </w:r>
      <w:r w:rsidRPr="00835922">
        <w:t xml:space="preserve"> for that class meeting. Additionally, three (3) tardies constitute</w:t>
      </w:r>
      <w:r w:rsidR="00C3498D">
        <w:t>s</w:t>
      </w:r>
      <w:r w:rsidRPr="00835922">
        <w:t xml:space="preserve"> one absence for the scheduled class meeting.</w:t>
      </w:r>
    </w:p>
    <w:p w:rsidR="00835922" w:rsidRDefault="00835922" w:rsidP="00C3498D">
      <w:pPr>
        <w:pStyle w:val="Heading2"/>
      </w:pPr>
      <w:r>
        <w:t>Academic Resources</w:t>
      </w:r>
    </w:p>
    <w:p w:rsidR="00C3498D" w:rsidRDefault="00362037" w:rsidP="00C3498D">
      <w:pPr>
        <w:spacing w:line="240" w:lineRule="auto"/>
        <w:rPr>
          <w:rFonts w:ascii="Times New Roman" w:hAnsi="Times New Roman" w:cs="Times New Roman"/>
        </w:rPr>
      </w:pPr>
      <w:r w:rsidRPr="00C3498D">
        <w:rPr>
          <w:rStyle w:val="Heading3Char"/>
        </w:rPr>
        <w:t xml:space="preserve">Smarthinking </w:t>
      </w:r>
    </w:p>
    <w:p w:rsidR="00362037" w:rsidRPr="00362037" w:rsidRDefault="00362037" w:rsidP="00362037">
      <w:pPr>
        <w:spacing w:after="200" w:line="252" w:lineRule="auto"/>
        <w:rPr>
          <w:rFonts w:ascii="Times New Roman" w:hAnsi="Times New Roman" w:cs="Times New Roman"/>
        </w:rPr>
      </w:pPr>
      <w:r w:rsidRPr="00362037">
        <w:rPr>
          <w:rFonts w:ascii="Times New Roman" w:hAnsi="Times New Roman" w:cs="Times New Roman"/>
        </w:rPr>
        <w:t>Students have access to the online tutorial service Smarthinking through the College’s portal.</w:t>
      </w:r>
    </w:p>
    <w:p w:rsidR="00C3498D" w:rsidRDefault="00362037" w:rsidP="00C3498D">
      <w:pPr>
        <w:spacing w:before="240" w:line="240" w:lineRule="auto"/>
        <w:rPr>
          <w:rFonts w:ascii="Times New Roman" w:hAnsi="Times New Roman" w:cs="Times New Roman"/>
        </w:rPr>
      </w:pPr>
      <w:r w:rsidRPr="00C3498D">
        <w:rPr>
          <w:rStyle w:val="Heading3Char"/>
        </w:rPr>
        <w:t>The Learning Center</w:t>
      </w:r>
      <w:r w:rsidRPr="00362037">
        <w:rPr>
          <w:rFonts w:ascii="Times New Roman" w:hAnsi="Times New Roman" w:cs="Times New Roman"/>
        </w:rPr>
        <w:t xml:space="preserve"> </w:t>
      </w:r>
    </w:p>
    <w:p w:rsidR="00362037" w:rsidRPr="00362037" w:rsidRDefault="00362037" w:rsidP="00C3498D">
      <w:r w:rsidRPr="00362037">
        <w:t>Students may seek tutorial assistance throughout the semester. For information, contact The Learning Center in Building 14 (1427B). Staff of TLC may a</w:t>
      </w:r>
      <w:r w:rsidR="00793157">
        <w:t xml:space="preserve">lso be contacted at </w:t>
      </w:r>
      <w:r w:rsidR="00C3498D">
        <w:t xml:space="preserve">(910) </w:t>
      </w:r>
      <w:r w:rsidR="00793157">
        <w:t>272-3663.</w:t>
      </w:r>
    </w:p>
    <w:p w:rsidR="00C3498D" w:rsidRDefault="00C3498D" w:rsidP="00C3498D">
      <w:pPr>
        <w:spacing w:before="240" w:line="240" w:lineRule="auto"/>
        <w:rPr>
          <w:rStyle w:val="Heading3Char"/>
        </w:rPr>
      </w:pPr>
      <w:r>
        <w:rPr>
          <w:rStyle w:val="Heading3Char"/>
        </w:rPr>
        <w:lastRenderedPageBreak/>
        <w:t xml:space="preserve">Library </w:t>
      </w:r>
    </w:p>
    <w:p w:rsidR="00362037" w:rsidRPr="00362037" w:rsidRDefault="00362037" w:rsidP="00C3498D">
      <w:r w:rsidRPr="00362037">
        <w:t>The RCC Library is located in Building 4 and offers a variety of services to students including access to the Open Computer Lab.</w:t>
      </w:r>
    </w:p>
    <w:p w:rsidR="00362037" w:rsidRPr="00362037" w:rsidRDefault="00362037" w:rsidP="00362037">
      <w:pPr>
        <w:spacing w:line="240" w:lineRule="auto"/>
        <w:rPr>
          <w:rFonts w:ascii="Times New Roman" w:hAnsi="Times New Roman" w:cs="Times New Roman"/>
        </w:rPr>
      </w:pPr>
    </w:p>
    <w:p w:rsidR="00C3498D" w:rsidRDefault="00362037" w:rsidP="00362037">
      <w:pPr>
        <w:spacing w:line="240" w:lineRule="auto"/>
        <w:rPr>
          <w:rStyle w:val="Heading3Char"/>
        </w:rPr>
      </w:pPr>
      <w:r w:rsidRPr="00C3498D">
        <w:rPr>
          <w:rStyle w:val="Heading3Char"/>
        </w:rPr>
        <w:t xml:space="preserve">Helpdesk </w:t>
      </w:r>
    </w:p>
    <w:p w:rsidR="00835922" w:rsidRDefault="00362037" w:rsidP="00C3498D">
      <w:pPr>
        <w:rPr>
          <w:color w:val="000000"/>
        </w:rPr>
      </w:pPr>
      <w:r w:rsidRPr="00362037">
        <w:t xml:space="preserve">Students may contact the IT Helpdesk for technical support for the portal, </w:t>
      </w:r>
      <w:proofErr w:type="spellStart"/>
      <w:r w:rsidRPr="00C3498D">
        <w:rPr>
          <w:rStyle w:val="SubtleEmphasis"/>
        </w:rPr>
        <w:t>WebAdviso</w:t>
      </w:r>
      <w:r w:rsidR="00C3498D" w:rsidRPr="00C3498D">
        <w:rPr>
          <w:rStyle w:val="SubtleEmphasis"/>
        </w:rPr>
        <w:t>r</w:t>
      </w:r>
      <w:proofErr w:type="spellEnd"/>
      <w:r w:rsidR="00C3498D">
        <w:t xml:space="preserve"> or </w:t>
      </w:r>
      <w:proofErr w:type="spellStart"/>
      <w:r w:rsidR="00C3498D" w:rsidRPr="00C3498D">
        <w:rPr>
          <w:rStyle w:val="SubtleEmphasis"/>
        </w:rPr>
        <w:t>MoodleR</w:t>
      </w:r>
      <w:r w:rsidR="007B7A9C" w:rsidRPr="00C3498D">
        <w:rPr>
          <w:rStyle w:val="SubtleEmphasis"/>
        </w:rPr>
        <w:t>oom</w:t>
      </w:r>
      <w:r w:rsidR="007B7A9C">
        <w:t>s</w:t>
      </w:r>
      <w:proofErr w:type="spellEnd"/>
      <w:r w:rsidR="007B7A9C">
        <w:t xml:space="preserve"> at </w:t>
      </w:r>
      <w:r w:rsidR="00C3498D">
        <w:t xml:space="preserve">(910) </w:t>
      </w:r>
      <w:r w:rsidR="007B7A9C">
        <w:t>272-3566.</w:t>
      </w:r>
    </w:p>
    <w:p w:rsidR="00362037" w:rsidRPr="00362037" w:rsidRDefault="00362037" w:rsidP="00362037">
      <w:pPr>
        <w:spacing w:line="240" w:lineRule="auto"/>
        <w:rPr>
          <w:rFonts w:ascii="Times New Roman" w:hAnsi="Times New Roman" w:cs="Times New Roman"/>
          <w:color w:val="000000"/>
        </w:rPr>
      </w:pPr>
    </w:p>
    <w:p w:rsidR="0041016C" w:rsidRPr="00BE2A18" w:rsidRDefault="0041016C" w:rsidP="00625DE6">
      <w:pPr>
        <w:pStyle w:val="Heading2"/>
      </w:pPr>
      <w:r w:rsidRPr="00577697">
        <w:t>Academic Integrity Statement</w:t>
      </w:r>
    </w:p>
    <w:p w:rsidR="00C3498D" w:rsidRDefault="00C3498D" w:rsidP="00625DE6">
      <w:pPr>
        <w:pStyle w:val="Heading3"/>
      </w:pPr>
      <w:r>
        <w:t xml:space="preserve">Rule 2.  Academic Dishonesty </w:t>
      </w:r>
    </w:p>
    <w:p w:rsidR="0041016C" w:rsidRDefault="0041016C" w:rsidP="00296172">
      <w:r w:rsidRPr="00BE2A18">
        <w:t>Cheating and plagiarism are dishonest, deceiving, and both are considered serious offenses.  Extreme care should be taken to ensure that all work completed measures up to standard of honesty.  The faculty member directly concerned may deal with this offense through disciplinary actions (such as failure on the assignment), file charges against campus standards, or may refer the charges to the division chair.</w:t>
      </w:r>
    </w:p>
    <w:p w:rsidR="00D270E1" w:rsidRPr="00BE2A18" w:rsidRDefault="00D270E1" w:rsidP="0041016C">
      <w:pPr>
        <w:spacing w:line="276" w:lineRule="auto"/>
        <w:rPr>
          <w:rFonts w:ascii="Times New Roman" w:hAnsi="Times New Roman" w:cs="Times New Roman"/>
        </w:rPr>
      </w:pPr>
    </w:p>
    <w:p w:rsidR="0041016C" w:rsidRPr="00BE2A18" w:rsidRDefault="0041016C" w:rsidP="00296172">
      <w:pPr>
        <w:pStyle w:val="ListParagraph"/>
        <w:numPr>
          <w:ilvl w:val="2"/>
          <w:numId w:val="24"/>
        </w:numPr>
        <w:ind w:left="576" w:hanging="288"/>
      </w:pPr>
      <w:r w:rsidRPr="00BE2A18">
        <w:t xml:space="preserve">Additional information concerning </w:t>
      </w:r>
      <w:r w:rsidRPr="00C3498D">
        <w:rPr>
          <w:rStyle w:val="SubtleEmphasis"/>
        </w:rPr>
        <w:t>Academic Expectation</w:t>
      </w:r>
      <w:r w:rsidRPr="00BE2A18">
        <w:t xml:space="preserve"> in the </w:t>
      </w:r>
      <w:r w:rsidRPr="00C3498D">
        <w:rPr>
          <w:rStyle w:val="BookTitle"/>
        </w:rPr>
        <w:t>RCC Student Handbook.</w:t>
      </w:r>
    </w:p>
    <w:p w:rsidR="0041016C" w:rsidRDefault="0041016C" w:rsidP="00296172">
      <w:pPr>
        <w:pStyle w:val="ListParagraph"/>
        <w:numPr>
          <w:ilvl w:val="2"/>
          <w:numId w:val="24"/>
        </w:numPr>
        <w:ind w:left="576" w:hanging="288"/>
      </w:pPr>
      <w:r w:rsidRPr="00BE2A18">
        <w:t xml:space="preserve">Information concerning the </w:t>
      </w:r>
      <w:r w:rsidRPr="00C3498D">
        <w:rPr>
          <w:rStyle w:val="SubtleEmphasis"/>
        </w:rPr>
        <w:t>Grade Appeals Process</w:t>
      </w:r>
      <w:r w:rsidRPr="00BE2A18">
        <w:t xml:space="preserve"> is located in the </w:t>
      </w:r>
      <w:r w:rsidRPr="00C3498D">
        <w:rPr>
          <w:rStyle w:val="BookTitle"/>
        </w:rPr>
        <w:t>RCC Student Handbook</w:t>
      </w:r>
      <w:r w:rsidRPr="00BE2A18">
        <w:t>.</w:t>
      </w:r>
    </w:p>
    <w:p w:rsidR="0041016C" w:rsidRDefault="0041016C" w:rsidP="00625DE6">
      <w:pPr>
        <w:pStyle w:val="Heading2"/>
      </w:pPr>
      <w:r w:rsidRPr="00577697">
        <w:t>Students with Disabilities</w:t>
      </w:r>
    </w:p>
    <w:p w:rsidR="0041016C" w:rsidRPr="0045174E" w:rsidRDefault="0041016C" w:rsidP="0041016C">
      <w:pPr>
        <w:spacing w:line="240" w:lineRule="auto"/>
        <w:rPr>
          <w:rFonts w:ascii="Times New Roman" w:hAnsi="Times New Roman" w:cs="Times New Roman"/>
          <w:b/>
          <w:bCs/>
          <w:sz w:val="16"/>
          <w:szCs w:val="16"/>
          <w:u w:val="single"/>
        </w:rPr>
      </w:pPr>
    </w:p>
    <w:p w:rsidR="0041016C" w:rsidRDefault="0041016C" w:rsidP="00217834">
      <w:r w:rsidRPr="00BE2A18">
        <w:t xml:space="preserve">Students with disabilities affecting academic performance and who seek accommodations should contact </w:t>
      </w:r>
      <w:r w:rsidRPr="00C3498D">
        <w:rPr>
          <w:rStyle w:val="SubtleEmphasis"/>
        </w:rPr>
        <w:t>Disability Services.</w:t>
      </w:r>
      <w:r w:rsidRPr="00BE2A18">
        <w:t xml:space="preserve">  The </w:t>
      </w:r>
      <w:r w:rsidRPr="00C3498D">
        <w:rPr>
          <w:rStyle w:val="SubtleEmphasis"/>
        </w:rPr>
        <w:t>Disability Services</w:t>
      </w:r>
      <w:r w:rsidRPr="00BE2A18">
        <w:t xml:space="preserve"> office is located in Building 13, Fred G. Williams Student Center.</w:t>
      </w:r>
    </w:p>
    <w:p w:rsidR="0041016C" w:rsidRDefault="0041016C" w:rsidP="00217834">
      <w:pPr>
        <w:rPr>
          <w:i/>
          <w:iCs/>
        </w:rPr>
      </w:pPr>
      <w:r w:rsidRPr="00BE2A18">
        <w:t xml:space="preserve">It is important to provide the </w:t>
      </w:r>
      <w:r w:rsidRPr="00C3498D">
        <w:rPr>
          <w:rStyle w:val="SubtleEmphasis"/>
        </w:rPr>
        <w:t>Disability Services Specialist</w:t>
      </w:r>
      <w:r w:rsidRPr="00BE2A18">
        <w:t xml:space="preserve"> adequate time to consider the student’s request and recommend reasonable accommodations.  Instructors will provide necessary accommodations based upon the recommendations of the Disability Services specialties. Details of how to access Disability Services are in the </w:t>
      </w:r>
      <w:r w:rsidRPr="00217834">
        <w:rPr>
          <w:rStyle w:val="BookTitle"/>
        </w:rPr>
        <w:t>RCC Student Handbook.</w:t>
      </w:r>
    </w:p>
    <w:p w:rsidR="0041016C" w:rsidRDefault="0041016C" w:rsidP="00625DE6">
      <w:pPr>
        <w:pStyle w:val="Heading2"/>
      </w:pPr>
      <w:r w:rsidRPr="00577697">
        <w:t>Non-Discriminatory Statement</w:t>
      </w:r>
    </w:p>
    <w:p w:rsidR="0041016C" w:rsidRPr="0045174E" w:rsidRDefault="0041016C" w:rsidP="0041016C">
      <w:pPr>
        <w:spacing w:line="240" w:lineRule="auto"/>
        <w:rPr>
          <w:rFonts w:ascii="Times New Roman" w:hAnsi="Times New Roman" w:cs="Times New Roman"/>
          <w:b/>
          <w:bCs/>
          <w:sz w:val="16"/>
          <w:szCs w:val="16"/>
          <w:u w:val="single"/>
        </w:rPr>
      </w:pPr>
    </w:p>
    <w:p w:rsidR="0041016C" w:rsidRDefault="0041016C" w:rsidP="00217834">
      <w:r w:rsidRPr="00BE2A18">
        <w:t xml:space="preserve">Robeson Community College’s Board of Trustees and staff recognize the importance of equal opportunity in all phases of the College’s operations and have officially adopted a position of nondiscrimination on the basis of race, color, sex, age, religion, disability origin, or other non-relevant </w:t>
      </w:r>
      <w:r w:rsidRPr="00BE2A18">
        <w:lastRenderedPageBreak/>
        <w:t>factors.  This policy applies to both students and employees at all levels of the College’s operations.  The Vice President for Personnel Services coordinates the College’s compliance effort.  Contact can be made by writing Robeson Community College, Post Office Box 1420, Lumberton, NC 28358 or by calling (910) 272-3500.</w:t>
      </w:r>
    </w:p>
    <w:p w:rsidR="0035137E" w:rsidRPr="0035137E" w:rsidRDefault="0035137E" w:rsidP="0035137E">
      <w:pPr>
        <w:spacing w:line="240" w:lineRule="auto"/>
        <w:rPr>
          <w:rFonts w:ascii="Times New Roman" w:hAnsi="Times New Roman" w:cs="Times New Roman"/>
        </w:rPr>
      </w:pPr>
    </w:p>
    <w:p w:rsidR="0041016C" w:rsidRPr="00577697" w:rsidRDefault="0041016C" w:rsidP="00625DE6">
      <w:pPr>
        <w:pStyle w:val="Heading2"/>
      </w:pPr>
      <w:r w:rsidRPr="00577697">
        <w:t>Student Attendance Policy</w:t>
      </w:r>
    </w:p>
    <w:p w:rsidR="0041016C" w:rsidRPr="00577697" w:rsidRDefault="0041016C" w:rsidP="0041016C">
      <w:pPr>
        <w:spacing w:line="240" w:lineRule="auto"/>
        <w:rPr>
          <w:rFonts w:ascii="Times New Roman" w:hAnsi="Times New Roman" w:cs="Times New Roman"/>
          <w:b/>
          <w:bCs/>
          <w:sz w:val="16"/>
          <w:szCs w:val="16"/>
        </w:rPr>
      </w:pPr>
    </w:p>
    <w:p w:rsidR="0041016C" w:rsidRDefault="0041016C" w:rsidP="00217834">
      <w:r w:rsidRPr="00577697">
        <w:t>It is the policy of Robeson Community College that faculty keep accurate records of class attendance and tardiness and that these records become part of the official records of the institution.</w:t>
      </w:r>
      <w:r w:rsidRPr="00BE2A18">
        <w:t xml:space="preserve">  The College is committed to the principles that regular and punctual class attendance is essential to the student optimizing his/her scholastic achievement and that it is the responsibility of the student to attend class regularly without being tardy.</w:t>
      </w:r>
    </w:p>
    <w:p w:rsidR="0041016C" w:rsidRDefault="0041016C" w:rsidP="00625DE6">
      <w:pPr>
        <w:pStyle w:val="Heading2"/>
      </w:pPr>
      <w:r w:rsidRPr="00577697">
        <w:t>Class Disruptions/Discipline Procedures</w:t>
      </w:r>
    </w:p>
    <w:p w:rsidR="0041016C" w:rsidRPr="00BE2A18" w:rsidRDefault="0041016C" w:rsidP="0041016C">
      <w:pPr>
        <w:spacing w:line="240" w:lineRule="auto"/>
        <w:rPr>
          <w:rFonts w:ascii="Times New Roman" w:hAnsi="Times New Roman" w:cs="Times New Roman"/>
          <w:b/>
          <w:bCs/>
          <w:sz w:val="16"/>
          <w:szCs w:val="16"/>
          <w:u w:val="single"/>
        </w:rPr>
      </w:pPr>
    </w:p>
    <w:p w:rsidR="0041016C" w:rsidRPr="00BE2A18" w:rsidRDefault="0041016C" w:rsidP="0041016C">
      <w:pPr>
        <w:spacing w:line="240" w:lineRule="auto"/>
        <w:rPr>
          <w:rFonts w:ascii="Times New Roman" w:hAnsi="Times New Roman" w:cs="Times New Roman"/>
        </w:rPr>
      </w:pPr>
      <w:r w:rsidRPr="00BE2A18">
        <w:rPr>
          <w:rFonts w:ascii="Times New Roman" w:hAnsi="Times New Roman" w:cs="Times New Roman"/>
        </w:rPr>
        <w:t>Students are not allowed to have beepers in the classroom.  Cell phone</w:t>
      </w:r>
      <w:r>
        <w:rPr>
          <w:rFonts w:ascii="Times New Roman" w:hAnsi="Times New Roman" w:cs="Times New Roman"/>
        </w:rPr>
        <w:t xml:space="preserve">s are to be placed on vibrate </w:t>
      </w:r>
      <w:r w:rsidRPr="00BE2A18">
        <w:rPr>
          <w:rFonts w:ascii="Times New Roman" w:hAnsi="Times New Roman" w:cs="Times New Roman"/>
        </w:rPr>
        <w:t>or silent setting.</w:t>
      </w:r>
    </w:p>
    <w:p w:rsidR="0041016C" w:rsidRDefault="0041016C" w:rsidP="0041016C">
      <w:pPr>
        <w:spacing w:line="240" w:lineRule="auto"/>
        <w:rPr>
          <w:rFonts w:ascii="Times New Roman" w:hAnsi="Times New Roman" w:cs="Times New Roman"/>
        </w:rPr>
      </w:pPr>
      <w:r w:rsidRPr="00BE2A18">
        <w:rPr>
          <w:rFonts w:ascii="Times New Roman" w:hAnsi="Times New Roman" w:cs="Times New Roman"/>
        </w:rPr>
        <w:t>Class disruption/discipline will be addressed in the following manner:</w:t>
      </w:r>
    </w:p>
    <w:p w:rsidR="0041016C" w:rsidRPr="00BE2A18" w:rsidRDefault="0041016C" w:rsidP="0041016C">
      <w:pPr>
        <w:spacing w:line="240" w:lineRule="auto"/>
        <w:rPr>
          <w:rFonts w:ascii="Times New Roman" w:hAnsi="Times New Roman" w:cs="Times New Roman"/>
          <w:sz w:val="16"/>
          <w:szCs w:val="16"/>
        </w:rPr>
      </w:pPr>
    </w:p>
    <w:p w:rsidR="0041016C" w:rsidRPr="00BE2A18" w:rsidRDefault="0041016C" w:rsidP="0041016C">
      <w:pPr>
        <w:spacing w:line="276" w:lineRule="auto"/>
        <w:ind w:left="720" w:hanging="360"/>
        <w:rPr>
          <w:rFonts w:ascii="Times New Roman" w:hAnsi="Times New Roman" w:cs="Times New Roman"/>
        </w:rPr>
      </w:pPr>
      <w:r w:rsidRPr="00BE2A18">
        <w:rPr>
          <w:rFonts w:ascii="Times New Roman" w:hAnsi="Times New Roman" w:cs="Times New Roman"/>
        </w:rPr>
        <w:t>1.</w:t>
      </w:r>
      <w:r w:rsidRPr="00BE2A18">
        <w:rPr>
          <w:rFonts w:ascii="Times New Roman" w:hAnsi="Times New Roman" w:cs="Times New Roman"/>
        </w:rPr>
        <w:tab/>
        <w:t>It will be brought to the attention of the class that disruption is occurring.</w:t>
      </w:r>
    </w:p>
    <w:p w:rsidR="0041016C" w:rsidRPr="00BE2A18" w:rsidRDefault="0041016C" w:rsidP="0041016C">
      <w:pPr>
        <w:spacing w:line="276" w:lineRule="auto"/>
        <w:ind w:left="720" w:hanging="360"/>
        <w:rPr>
          <w:rFonts w:ascii="Times New Roman" w:hAnsi="Times New Roman" w:cs="Times New Roman"/>
        </w:rPr>
      </w:pPr>
      <w:r w:rsidRPr="00BE2A18">
        <w:rPr>
          <w:rFonts w:ascii="Times New Roman" w:hAnsi="Times New Roman" w:cs="Times New Roman"/>
        </w:rPr>
        <w:t>2.</w:t>
      </w:r>
      <w:r w:rsidRPr="00BE2A18">
        <w:rPr>
          <w:rFonts w:ascii="Times New Roman" w:hAnsi="Times New Roman" w:cs="Times New Roman"/>
        </w:rPr>
        <w:tab/>
        <w:t>If disruption continues, the individual(s) causing t</w:t>
      </w:r>
      <w:r>
        <w:rPr>
          <w:rFonts w:ascii="Times New Roman" w:hAnsi="Times New Roman" w:cs="Times New Roman"/>
        </w:rPr>
        <w:t xml:space="preserve">he disruption will be asked to leave </w:t>
      </w:r>
      <w:r w:rsidRPr="00BE2A18">
        <w:rPr>
          <w:rFonts w:ascii="Times New Roman" w:hAnsi="Times New Roman" w:cs="Times New Roman"/>
        </w:rPr>
        <w:t>class and counseled.</w:t>
      </w:r>
    </w:p>
    <w:p w:rsidR="0041016C" w:rsidRPr="00BE2A18" w:rsidRDefault="0041016C" w:rsidP="0041016C">
      <w:pPr>
        <w:spacing w:line="276" w:lineRule="auto"/>
        <w:ind w:left="720" w:hanging="360"/>
        <w:rPr>
          <w:rFonts w:ascii="Times New Roman" w:hAnsi="Times New Roman" w:cs="Times New Roman"/>
        </w:rPr>
      </w:pPr>
      <w:r w:rsidRPr="00BE2A18">
        <w:rPr>
          <w:rFonts w:ascii="Times New Roman" w:hAnsi="Times New Roman" w:cs="Times New Roman"/>
        </w:rPr>
        <w:t>3.</w:t>
      </w:r>
      <w:r w:rsidRPr="00BE2A18">
        <w:rPr>
          <w:rFonts w:ascii="Times New Roman" w:hAnsi="Times New Roman" w:cs="Times New Roman"/>
        </w:rPr>
        <w:tab/>
        <w:t>If disruption continues, individual(s) causing disruption will be sent to the Vice P</w:t>
      </w:r>
      <w:r>
        <w:rPr>
          <w:rFonts w:ascii="Times New Roman" w:hAnsi="Times New Roman" w:cs="Times New Roman"/>
        </w:rPr>
        <w:t>resident of curriculum</w:t>
      </w:r>
      <w:r w:rsidRPr="00BE2A18">
        <w:rPr>
          <w:rFonts w:ascii="Times New Roman" w:hAnsi="Times New Roman" w:cs="Times New Roman"/>
        </w:rPr>
        <w:t>.</w:t>
      </w:r>
    </w:p>
    <w:p w:rsidR="0041016C" w:rsidRDefault="0041016C" w:rsidP="0041016C">
      <w:pPr>
        <w:spacing w:line="276" w:lineRule="auto"/>
        <w:ind w:left="720" w:hanging="360"/>
        <w:rPr>
          <w:rFonts w:ascii="Times New Roman" w:hAnsi="Times New Roman" w:cs="Times New Roman"/>
        </w:rPr>
      </w:pPr>
      <w:r w:rsidRPr="00BE2A18">
        <w:rPr>
          <w:rFonts w:ascii="Times New Roman" w:hAnsi="Times New Roman" w:cs="Times New Roman"/>
        </w:rPr>
        <w:t>4.</w:t>
      </w:r>
      <w:r w:rsidRPr="00BE2A18">
        <w:rPr>
          <w:rFonts w:ascii="Times New Roman" w:hAnsi="Times New Roman" w:cs="Times New Roman"/>
        </w:rPr>
        <w:tab/>
        <w:t>If disruption still continues, individual may be dismissed from the class permanently.</w:t>
      </w:r>
    </w:p>
    <w:p w:rsidR="00BC0254" w:rsidRDefault="00BC0254" w:rsidP="0041016C">
      <w:pPr>
        <w:spacing w:line="276" w:lineRule="auto"/>
        <w:rPr>
          <w:rFonts w:ascii="Times New Roman" w:hAnsi="Times New Roman" w:cs="Times New Roman"/>
          <w:b/>
          <w:bCs/>
          <w:u w:val="single"/>
        </w:rPr>
      </w:pPr>
    </w:p>
    <w:p w:rsidR="0041016C" w:rsidRDefault="0041016C" w:rsidP="00217834">
      <w:pPr>
        <w:pStyle w:val="Heading2"/>
        <w:spacing w:before="0"/>
      </w:pPr>
      <w:r w:rsidRPr="00BE2A18">
        <w:t>Student Grievance</w:t>
      </w:r>
    </w:p>
    <w:p w:rsidR="0041016C" w:rsidRPr="00217834" w:rsidRDefault="0041016C" w:rsidP="00217834">
      <w:pPr>
        <w:rPr>
          <w:b/>
          <w:bCs/>
        </w:rPr>
      </w:pPr>
      <w:r w:rsidRPr="00217834">
        <w:t xml:space="preserve">The </w:t>
      </w:r>
      <w:r w:rsidRPr="00217834">
        <w:rPr>
          <w:rStyle w:val="Emphasis"/>
        </w:rPr>
        <w:t>Student Grievance procedure</w:t>
      </w:r>
      <w:r w:rsidRPr="00217834">
        <w:rPr>
          <w:sz w:val="28"/>
        </w:rPr>
        <w:t xml:space="preserve"> </w:t>
      </w:r>
      <w:r w:rsidRPr="00217834">
        <w:t xml:space="preserve">is summarized in the </w:t>
      </w:r>
      <w:r w:rsidRPr="00217834">
        <w:rPr>
          <w:rStyle w:val="BookTitle"/>
        </w:rPr>
        <w:t>2016-2017 Robeson Community College Student Handbook.</w:t>
      </w:r>
      <w:r w:rsidRPr="00217834">
        <w:rPr>
          <w:b/>
          <w:bCs/>
        </w:rPr>
        <w:t xml:space="preserve">  </w:t>
      </w:r>
    </w:p>
    <w:p w:rsidR="0041016C" w:rsidRPr="00217834" w:rsidRDefault="0041016C" w:rsidP="00217834">
      <w:pPr>
        <w:spacing w:line="276" w:lineRule="auto"/>
        <w:rPr>
          <w:rFonts w:cs="Times New Roman"/>
          <w:szCs w:val="24"/>
        </w:rPr>
      </w:pPr>
      <w:r w:rsidRPr="00217834">
        <w:rPr>
          <w:rFonts w:cs="Times New Roman"/>
          <w:szCs w:val="24"/>
        </w:rPr>
        <w:t>General grievances about issues or concerns about the class should be handled in the following manner:</w:t>
      </w:r>
    </w:p>
    <w:p w:rsidR="0041016C" w:rsidRPr="00217834" w:rsidRDefault="0041016C" w:rsidP="00296172">
      <w:pPr>
        <w:pStyle w:val="ListParagraph"/>
        <w:numPr>
          <w:ilvl w:val="1"/>
          <w:numId w:val="30"/>
        </w:numPr>
        <w:rPr>
          <w:b/>
          <w:bCs/>
        </w:rPr>
      </w:pPr>
      <w:r w:rsidRPr="00217834">
        <w:t xml:space="preserve">The student should make an appointment with the </w:t>
      </w:r>
      <w:r w:rsidRPr="00217834">
        <w:rPr>
          <w:b/>
          <w:bCs/>
        </w:rPr>
        <w:t xml:space="preserve">instructor </w:t>
      </w:r>
      <w:r w:rsidRPr="00217834">
        <w:t>about his/her concern.</w:t>
      </w:r>
    </w:p>
    <w:p w:rsidR="0041016C" w:rsidRPr="00217834" w:rsidRDefault="0041016C" w:rsidP="00296172">
      <w:pPr>
        <w:pStyle w:val="ListParagraph"/>
        <w:numPr>
          <w:ilvl w:val="1"/>
          <w:numId w:val="30"/>
        </w:numPr>
        <w:rPr>
          <w:b/>
          <w:bCs/>
        </w:rPr>
      </w:pPr>
      <w:r w:rsidRPr="00217834">
        <w:t xml:space="preserve">If the concern is not resolved, the student should make an appointment to speak to the </w:t>
      </w:r>
      <w:r w:rsidRPr="00217834">
        <w:rPr>
          <w:b/>
          <w:bCs/>
        </w:rPr>
        <w:t>chairperson/program director</w:t>
      </w:r>
      <w:r w:rsidRPr="00217834">
        <w:t xml:space="preserve"> of the department.</w:t>
      </w:r>
    </w:p>
    <w:p w:rsidR="0041016C" w:rsidRPr="00217834" w:rsidRDefault="0041016C" w:rsidP="00296172">
      <w:pPr>
        <w:pStyle w:val="ListParagraph"/>
        <w:numPr>
          <w:ilvl w:val="1"/>
          <w:numId w:val="30"/>
        </w:numPr>
        <w:rPr>
          <w:b/>
          <w:bCs/>
        </w:rPr>
      </w:pPr>
      <w:r w:rsidRPr="00217834">
        <w:t xml:space="preserve">If the situation remains unresolved, the student should make an appointment to speak to the </w:t>
      </w:r>
      <w:r w:rsidRPr="00217834">
        <w:rPr>
          <w:b/>
          <w:bCs/>
        </w:rPr>
        <w:t>Vice President</w:t>
      </w:r>
      <w:r w:rsidRPr="00217834">
        <w:t xml:space="preserve"> </w:t>
      </w:r>
      <w:r w:rsidRPr="00217834">
        <w:rPr>
          <w:b/>
          <w:bCs/>
        </w:rPr>
        <w:t>of Curriculum.</w:t>
      </w:r>
      <w:r w:rsidRPr="00217834">
        <w:t xml:space="preserve"> </w:t>
      </w:r>
    </w:p>
    <w:p w:rsidR="0041016C" w:rsidRPr="00BE2A18" w:rsidRDefault="0041016C" w:rsidP="00217834">
      <w:pPr>
        <w:pStyle w:val="Heading2"/>
      </w:pPr>
      <w:r w:rsidRPr="00577697">
        <w:lastRenderedPageBreak/>
        <w:t>Additional Information from the Instructor/Miscellaneous</w:t>
      </w:r>
    </w:p>
    <w:p w:rsidR="0041016C" w:rsidRPr="00BE2A18" w:rsidRDefault="0041016C" w:rsidP="00217834">
      <w:pPr>
        <w:pStyle w:val="Heading3"/>
      </w:pPr>
      <w:r w:rsidRPr="00BE2A18">
        <w:t>Phones/Pagers/Beepers</w:t>
      </w:r>
    </w:p>
    <w:p w:rsidR="0041016C" w:rsidRDefault="0041016C" w:rsidP="00296172">
      <w:r w:rsidRPr="00BE2A18">
        <w:t>Cell phones, beepers, and walkie-talkies cause unnecessary disruption to the teaching/learning process.  Out of courtesy to others, all systems of communication should be in the quiet mode during class.</w:t>
      </w:r>
    </w:p>
    <w:p w:rsidR="0041016C" w:rsidRPr="00BE2A18" w:rsidRDefault="0041016C" w:rsidP="00296172">
      <w:pPr>
        <w:pStyle w:val="Heading2"/>
        <w:spacing w:before="240" w:line="240" w:lineRule="auto"/>
      </w:pPr>
      <w:r w:rsidRPr="00BE2A18">
        <w:t>Important College Policies</w:t>
      </w:r>
    </w:p>
    <w:p w:rsidR="00BC0254" w:rsidRPr="00217834" w:rsidRDefault="0041016C" w:rsidP="00217834">
      <w:r w:rsidRPr="00217834">
        <w:t xml:space="preserve">Several important policies are outlined in the </w:t>
      </w:r>
      <w:r w:rsidRPr="00217834">
        <w:rPr>
          <w:rStyle w:val="BookTitle"/>
        </w:rPr>
        <w:t>2016-2017 Robeson Community College Student Handbook</w:t>
      </w:r>
      <w:r w:rsidRPr="00217834">
        <w:rPr>
          <w:i/>
          <w:iCs/>
        </w:rPr>
        <w:t xml:space="preserve"> </w:t>
      </w:r>
      <w:r w:rsidRPr="00217834">
        <w:t>to assist students with meeting their academic goals.</w:t>
      </w:r>
    </w:p>
    <w:p w:rsidR="0041016C" w:rsidRPr="00BC0254" w:rsidRDefault="0041016C" w:rsidP="00217834">
      <w:pPr>
        <w:rPr>
          <w:rFonts w:ascii="Times New Roman" w:hAnsi="Times New Roman" w:cs="Times New Roman"/>
        </w:rPr>
      </w:pPr>
      <w:r w:rsidRPr="00BE2A18">
        <w:rPr>
          <w:rFonts w:ascii="Times New Roman" w:hAnsi="Times New Roman" w:cs="Times New Roman"/>
          <w:b/>
          <w:bCs/>
        </w:rPr>
        <w:t xml:space="preserve">Please refer to the </w:t>
      </w:r>
      <w:r w:rsidRPr="00296172">
        <w:rPr>
          <w:rStyle w:val="BookTitle"/>
        </w:rPr>
        <w:t>Student Handbook</w:t>
      </w:r>
      <w:r w:rsidRPr="00BE2A18">
        <w:rPr>
          <w:rFonts w:ascii="Times New Roman" w:hAnsi="Times New Roman" w:cs="Times New Roman"/>
          <w:b/>
          <w:bCs/>
        </w:rPr>
        <w:t xml:space="preserve"> for the policies on the following:</w:t>
      </w:r>
    </w:p>
    <w:p w:rsidR="0041016C" w:rsidRPr="00217834" w:rsidRDefault="0041016C" w:rsidP="00217834">
      <w:pPr>
        <w:pStyle w:val="ListParagraph"/>
        <w:numPr>
          <w:ilvl w:val="1"/>
          <w:numId w:val="24"/>
        </w:numPr>
        <w:ind w:left="576" w:hanging="288"/>
        <w:rPr>
          <w:b/>
          <w:bCs/>
        </w:rPr>
      </w:pPr>
      <w:r w:rsidRPr="00217834">
        <w:t>Attendance</w:t>
      </w:r>
    </w:p>
    <w:p w:rsidR="0041016C" w:rsidRPr="00217834" w:rsidRDefault="0041016C" w:rsidP="00217834">
      <w:pPr>
        <w:pStyle w:val="ListParagraph"/>
        <w:numPr>
          <w:ilvl w:val="1"/>
          <w:numId w:val="24"/>
        </w:numPr>
        <w:ind w:left="576" w:hanging="288"/>
        <w:rPr>
          <w:b/>
          <w:bCs/>
        </w:rPr>
      </w:pPr>
      <w:r w:rsidRPr="00217834">
        <w:t>Student Expectations of Faculty</w:t>
      </w:r>
    </w:p>
    <w:p w:rsidR="0041016C" w:rsidRPr="00217834" w:rsidRDefault="0041016C" w:rsidP="00217834">
      <w:pPr>
        <w:pStyle w:val="ListParagraph"/>
        <w:numPr>
          <w:ilvl w:val="1"/>
          <w:numId w:val="24"/>
        </w:numPr>
        <w:ind w:left="576" w:hanging="288"/>
        <w:rPr>
          <w:b/>
          <w:bCs/>
        </w:rPr>
      </w:pPr>
      <w:r w:rsidRPr="00217834">
        <w:t>Faculty Expectations of Students</w:t>
      </w:r>
    </w:p>
    <w:p w:rsidR="0041016C" w:rsidRPr="00217834" w:rsidRDefault="0041016C" w:rsidP="00217834">
      <w:pPr>
        <w:pStyle w:val="ListParagraph"/>
        <w:numPr>
          <w:ilvl w:val="1"/>
          <w:numId w:val="24"/>
        </w:numPr>
        <w:ind w:left="576" w:hanging="288"/>
        <w:rPr>
          <w:b/>
          <w:bCs/>
        </w:rPr>
      </w:pPr>
      <w:r w:rsidRPr="00217834">
        <w:t>Administrative Withdrawal</w:t>
      </w:r>
    </w:p>
    <w:p w:rsidR="0041016C" w:rsidRPr="00217834" w:rsidRDefault="0041016C" w:rsidP="00217834">
      <w:pPr>
        <w:pStyle w:val="ListParagraph"/>
        <w:numPr>
          <w:ilvl w:val="1"/>
          <w:numId w:val="24"/>
        </w:numPr>
        <w:ind w:left="576" w:hanging="288"/>
      </w:pPr>
      <w:r w:rsidRPr="00217834">
        <w:t>Campus Standards</w:t>
      </w:r>
    </w:p>
    <w:p w:rsidR="0041016C" w:rsidRPr="00217834" w:rsidRDefault="0041016C" w:rsidP="00217834">
      <w:pPr>
        <w:pStyle w:val="ListParagraph"/>
        <w:numPr>
          <w:ilvl w:val="1"/>
          <w:numId w:val="24"/>
        </w:numPr>
        <w:ind w:left="576" w:hanging="288"/>
      </w:pPr>
      <w:r w:rsidRPr="00217834">
        <w:t>Eating, Drinking and Smoking</w:t>
      </w:r>
    </w:p>
    <w:p w:rsidR="0041016C" w:rsidRPr="00217834" w:rsidRDefault="0041016C" w:rsidP="00217834">
      <w:pPr>
        <w:pStyle w:val="ListParagraph"/>
        <w:numPr>
          <w:ilvl w:val="1"/>
          <w:numId w:val="24"/>
        </w:numPr>
        <w:ind w:left="576" w:hanging="288"/>
      </w:pPr>
      <w:r w:rsidRPr="00217834">
        <w:t>Internet and Computer Network Acceptable Use Policy</w:t>
      </w:r>
    </w:p>
    <w:p w:rsidR="0041016C" w:rsidRPr="00217834" w:rsidRDefault="0041016C" w:rsidP="00217834">
      <w:pPr>
        <w:pStyle w:val="ListParagraph"/>
        <w:numPr>
          <w:ilvl w:val="1"/>
          <w:numId w:val="24"/>
        </w:numPr>
        <w:ind w:left="576" w:hanging="288"/>
      </w:pPr>
      <w:r w:rsidRPr="00217834">
        <w:t>Inclement Weather</w:t>
      </w:r>
    </w:p>
    <w:p w:rsidR="00507430" w:rsidRPr="00217834" w:rsidRDefault="0041016C" w:rsidP="00217834">
      <w:pPr>
        <w:pStyle w:val="ListParagraph"/>
        <w:numPr>
          <w:ilvl w:val="1"/>
          <w:numId w:val="24"/>
        </w:numPr>
        <w:ind w:left="576" w:hanging="288"/>
      </w:pPr>
      <w:r w:rsidRPr="00217834">
        <w:t>Emergency Procedures</w:t>
      </w:r>
    </w:p>
    <w:p w:rsidR="00B071A9" w:rsidRPr="00B071A9" w:rsidRDefault="00B071A9" w:rsidP="00B071A9">
      <w:pPr>
        <w:spacing w:line="240" w:lineRule="auto"/>
        <w:rPr>
          <w:rFonts w:ascii="Times New Roman" w:hAnsi="Times New Roman" w:cs="Times New Roman"/>
          <w:sz w:val="22"/>
        </w:rPr>
      </w:pPr>
    </w:p>
    <w:p w:rsidR="00B071A9" w:rsidRPr="00B071A9" w:rsidRDefault="00B071A9" w:rsidP="00B071A9">
      <w:pPr>
        <w:pBdr>
          <w:top w:val="single" w:sz="4" w:space="1" w:color="auto"/>
          <w:left w:val="single" w:sz="4" w:space="4" w:color="auto"/>
          <w:bottom w:val="single" w:sz="4" w:space="1" w:color="auto"/>
          <w:right w:val="single" w:sz="4" w:space="4" w:color="auto"/>
        </w:pBdr>
        <w:spacing w:before="480" w:line="240" w:lineRule="auto"/>
        <w:rPr>
          <w:sz w:val="22"/>
        </w:rPr>
      </w:pPr>
      <w:r w:rsidRPr="00B071A9">
        <w:rPr>
          <w:sz w:val="22"/>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071A9" w:rsidRDefault="00B071A9" w:rsidP="00B071A9"/>
    <w:p w:rsidR="000E229F" w:rsidRDefault="000E229F" w:rsidP="00B071A9">
      <w:r>
        <w:br w:type="page"/>
      </w:r>
    </w:p>
    <w:p w:rsidR="000E229F" w:rsidRPr="00BE2A18" w:rsidRDefault="000E229F" w:rsidP="000E229F">
      <w:pPr>
        <w:spacing w:line="276" w:lineRule="auto"/>
        <w:ind w:left="720" w:hanging="360"/>
        <w:rPr>
          <w:rFonts w:ascii="Times New Roman" w:hAnsi="Times New Roman" w:cs="Times New Roman"/>
        </w:rPr>
      </w:pPr>
    </w:p>
    <w:p w:rsidR="0041016C" w:rsidRDefault="0041016C" w:rsidP="00217834">
      <w:pPr>
        <w:pStyle w:val="Heading1"/>
        <w:jc w:val="center"/>
      </w:pPr>
      <w:r w:rsidRPr="00BE2A18">
        <w:t>C</w:t>
      </w:r>
      <w:bookmarkStart w:id="0" w:name="_GoBack"/>
      <w:bookmarkEnd w:id="0"/>
      <w:r w:rsidRPr="00BE2A18">
        <w:t>ourse Syllabus</w:t>
      </w:r>
    </w:p>
    <w:p w:rsidR="0041016C" w:rsidRDefault="0041016C" w:rsidP="00217834">
      <w:pPr>
        <w:pStyle w:val="Heading2"/>
        <w:jc w:val="center"/>
      </w:pPr>
      <w:r w:rsidRPr="00BE2A18">
        <w:t>Acknowledgement Form</w:t>
      </w:r>
    </w:p>
    <w:p w:rsidR="001C6F8C" w:rsidRPr="00BE2A18" w:rsidRDefault="001C6F8C" w:rsidP="00D270E1">
      <w:pPr>
        <w:spacing w:line="240" w:lineRule="auto"/>
        <w:jc w:val="center"/>
        <w:rPr>
          <w:rFonts w:ascii="Times New Roman" w:hAnsi="Times New Roman" w:cs="Times New Roman"/>
          <w:b/>
          <w:bCs/>
          <w:i/>
          <w:iCs/>
        </w:rPr>
      </w:pPr>
    </w:p>
    <w:p w:rsidR="0041016C" w:rsidRPr="00BE2A18" w:rsidRDefault="0041016C" w:rsidP="00D270E1">
      <w:pPr>
        <w:rPr>
          <w:rFonts w:ascii="Times New Roman" w:hAnsi="Times New Roman" w:cs="Times New Roman"/>
        </w:rPr>
      </w:pPr>
      <w:r w:rsidRPr="00BE2A18">
        <w:rPr>
          <w:rFonts w:ascii="Times New Roman" w:hAnsi="Times New Roman" w:cs="Times New Roman"/>
          <w:b/>
          <w:bCs/>
        </w:rPr>
        <w:t>Student’s Name:  ____________________________________</w:t>
      </w:r>
      <w:r w:rsidRPr="00BE2A18">
        <w:rPr>
          <w:rFonts w:ascii="Times New Roman" w:hAnsi="Times New Roman" w:cs="Times New Roman"/>
        </w:rPr>
        <w:t xml:space="preserve"> (Please print)</w:t>
      </w:r>
    </w:p>
    <w:p w:rsidR="0041016C" w:rsidRPr="00BE2A18" w:rsidRDefault="0041016C" w:rsidP="0041016C">
      <w:pPr>
        <w:rPr>
          <w:rFonts w:ascii="Times New Roman" w:hAnsi="Times New Roman" w:cs="Times New Roman"/>
          <w:b/>
          <w:bCs/>
          <w:i/>
          <w:iCs/>
        </w:rPr>
      </w:pPr>
    </w:p>
    <w:p w:rsidR="0041016C" w:rsidRPr="00BE2A18" w:rsidRDefault="0041016C" w:rsidP="0041016C">
      <w:pPr>
        <w:rPr>
          <w:rFonts w:ascii="Times New Roman" w:hAnsi="Times New Roman" w:cs="Times New Roman"/>
          <w:b/>
          <w:bCs/>
          <w:i/>
          <w:iCs/>
        </w:rPr>
      </w:pPr>
    </w:p>
    <w:p w:rsidR="0041016C" w:rsidRPr="00BE2A18" w:rsidRDefault="0041016C" w:rsidP="0041016C">
      <w:pPr>
        <w:rPr>
          <w:rFonts w:ascii="Times New Roman" w:hAnsi="Times New Roman" w:cs="Times New Roman"/>
        </w:rPr>
      </w:pPr>
      <w:r w:rsidRPr="00BE2A18">
        <w:rPr>
          <w:rFonts w:ascii="Times New Roman" w:hAnsi="Times New Roman" w:cs="Times New Roman"/>
        </w:rPr>
        <w:t>I have rece</w:t>
      </w:r>
      <w:r>
        <w:rPr>
          <w:rFonts w:ascii="Times New Roman" w:hAnsi="Times New Roman" w:cs="Times New Roman"/>
        </w:rPr>
        <w:t>ived</w:t>
      </w:r>
      <w:r w:rsidR="00223AB0">
        <w:rPr>
          <w:rFonts w:ascii="Times New Roman" w:hAnsi="Times New Roman" w:cs="Times New Roman"/>
        </w:rPr>
        <w:t xml:space="preserve"> the course syllabus for NAS 107</w:t>
      </w:r>
      <w:r w:rsidRPr="00BE2A18">
        <w:rPr>
          <w:rFonts w:ascii="Times New Roman" w:hAnsi="Times New Roman" w:cs="Times New Roman"/>
        </w:rPr>
        <w:t>.   My instructor has covered all aspects of the syllabus with me to my satisfaction.  I have carefully read and completely understand all aspects as outlined.</w:t>
      </w:r>
      <w:r w:rsidR="00362037">
        <w:rPr>
          <w:rFonts w:ascii="Times New Roman" w:hAnsi="Times New Roman" w:cs="Times New Roman"/>
        </w:rPr>
        <w:t xml:space="preserve"> I understand that this syllabus is subject to change by my instructor.</w:t>
      </w:r>
    </w:p>
    <w:p w:rsidR="0041016C" w:rsidRPr="00BE2A18" w:rsidRDefault="0041016C" w:rsidP="0041016C">
      <w:pPr>
        <w:rPr>
          <w:rFonts w:ascii="Times New Roman" w:hAnsi="Times New Roman" w:cs="Times New Roman"/>
        </w:rPr>
      </w:pPr>
    </w:p>
    <w:p w:rsidR="0041016C" w:rsidRPr="00BE2A18" w:rsidRDefault="0041016C" w:rsidP="0041016C">
      <w:pPr>
        <w:rPr>
          <w:rFonts w:ascii="Times New Roman" w:hAnsi="Times New Roman" w:cs="Times New Roman"/>
        </w:rPr>
      </w:pPr>
      <w:r w:rsidRPr="00BE2A18">
        <w:rPr>
          <w:rFonts w:ascii="Times New Roman" w:hAnsi="Times New Roman" w:cs="Times New Roman"/>
        </w:rPr>
        <w:t xml:space="preserve">Furthermore, </w:t>
      </w:r>
      <w:r w:rsidR="00362037">
        <w:rPr>
          <w:rFonts w:ascii="Times New Roman" w:hAnsi="Times New Roman" w:cs="Times New Roman"/>
        </w:rPr>
        <w:t>I have read and understand the College’s Honor Code Policy</w:t>
      </w:r>
      <w:r w:rsidRPr="00BE2A18">
        <w:rPr>
          <w:rFonts w:ascii="Times New Roman" w:hAnsi="Times New Roman" w:cs="Times New Roman"/>
        </w:rPr>
        <w:t>.</w:t>
      </w:r>
    </w:p>
    <w:p w:rsidR="0041016C" w:rsidRPr="00BE2A18" w:rsidRDefault="0041016C" w:rsidP="0041016C">
      <w:pPr>
        <w:rPr>
          <w:rFonts w:ascii="Times New Roman" w:hAnsi="Times New Roman" w:cs="Times New Roman"/>
          <w:b/>
          <w:bCs/>
          <w:i/>
          <w:iCs/>
        </w:rPr>
      </w:pPr>
    </w:p>
    <w:p w:rsidR="0041016C" w:rsidRPr="00BE2A18" w:rsidRDefault="0041016C" w:rsidP="0041016C">
      <w:pPr>
        <w:rPr>
          <w:rFonts w:ascii="Times New Roman" w:hAnsi="Times New Roman" w:cs="Times New Roman"/>
          <w:b/>
          <w:bCs/>
          <w:i/>
          <w:iCs/>
        </w:rPr>
      </w:pPr>
    </w:p>
    <w:p w:rsidR="0041016C" w:rsidRPr="00BE2A18" w:rsidRDefault="0041016C" w:rsidP="0041016C">
      <w:pPr>
        <w:rPr>
          <w:rFonts w:ascii="Times New Roman" w:hAnsi="Times New Roman" w:cs="Times New Roman"/>
          <w:b/>
          <w:bCs/>
        </w:rPr>
      </w:pPr>
      <w:r w:rsidRPr="00BE2A18">
        <w:rPr>
          <w:rFonts w:ascii="Times New Roman" w:hAnsi="Times New Roman" w:cs="Times New Roman"/>
          <w:b/>
          <w:bCs/>
        </w:rPr>
        <w:t>Student’s Signature:  ___________________________________________</w:t>
      </w:r>
    </w:p>
    <w:p w:rsidR="0041016C" w:rsidRPr="00BE2A18" w:rsidRDefault="0041016C" w:rsidP="0041016C">
      <w:pPr>
        <w:rPr>
          <w:rFonts w:ascii="Times New Roman" w:hAnsi="Times New Roman" w:cs="Times New Roman"/>
          <w:b/>
          <w:bCs/>
        </w:rPr>
      </w:pPr>
    </w:p>
    <w:p w:rsidR="0041016C" w:rsidRDefault="0041016C" w:rsidP="0041016C">
      <w:r w:rsidRPr="00BE2A18">
        <w:rPr>
          <w:rFonts w:ascii="Times New Roman" w:hAnsi="Times New Roman" w:cs="Times New Roman"/>
          <w:b/>
          <w:bCs/>
        </w:rPr>
        <w:t>Date:  _________________________</w:t>
      </w:r>
    </w:p>
    <w:p w:rsidR="004A70F8" w:rsidRDefault="004A70F8"/>
    <w:sectPr w:rsidR="004A70F8" w:rsidSect="00ED1079">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440" w:header="288"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EF" w:rsidRDefault="00145EEF">
      <w:pPr>
        <w:spacing w:line="240" w:lineRule="auto"/>
      </w:pPr>
      <w:r>
        <w:separator/>
      </w:r>
    </w:p>
  </w:endnote>
  <w:endnote w:type="continuationSeparator" w:id="0">
    <w:p w:rsidR="00145EEF" w:rsidRDefault="00145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9" w:rsidRDefault="00B071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6306"/>
      <w:docPartObj>
        <w:docPartGallery w:val="Page Numbers (Bottom of Page)"/>
        <w:docPartUnique/>
      </w:docPartObj>
    </w:sdtPr>
    <w:sdtEndPr/>
    <w:sdtContent>
      <w:sdt>
        <w:sdtPr>
          <w:id w:val="-1769616900"/>
          <w:docPartObj>
            <w:docPartGallery w:val="Page Numbers (Top of Page)"/>
            <w:docPartUnique/>
          </w:docPartObj>
        </w:sdtPr>
        <w:sdtEndPr/>
        <w:sdtContent>
          <w:p w:rsidR="00B071A9" w:rsidRDefault="00B071A9">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625DE6">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5DE6">
              <w:rPr>
                <w:b/>
                <w:bCs/>
                <w:noProof/>
              </w:rPr>
              <w:t>8</w:t>
            </w:r>
            <w:r>
              <w:rPr>
                <w:b/>
                <w:bCs/>
                <w:szCs w:val="24"/>
              </w:rPr>
              <w:fldChar w:fldCharType="end"/>
            </w:r>
          </w:p>
          <w:p w:rsidR="00B071A9" w:rsidRDefault="00B071A9" w:rsidP="00B071A9">
            <w:pPr>
              <w:autoSpaceDE w:val="0"/>
              <w:autoSpaceDN w:val="0"/>
              <w:adjustRightInd w:val="0"/>
              <w:spacing w:line="240" w:lineRule="auto"/>
            </w:pPr>
            <w:r w:rsidRPr="00CD1206">
              <w:rPr>
                <w:noProof/>
                <w:sz w:val="20"/>
                <w:szCs w:val="20"/>
              </w:rPr>
              <w:drawing>
                <wp:inline distT="0" distB="0" distL="0" distR="0" wp14:anchorId="4CEC0143" wp14:editId="14F94E12">
                  <wp:extent cx="695325" cy="244944"/>
                  <wp:effectExtent l="0" t="0" r="0" b="3175"/>
                  <wp:docPr id="1" name="Picture 1" descr="Creative Commons license attribution  logo&#10;"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B071A9">
              <w:rPr>
                <w:rFonts w:ascii="ArialMT" w:cs="ArialMT"/>
                <w:color w:val="000000"/>
              </w:rPr>
              <w:t xml:space="preserve">  NAS 107 Medication Aide </w:t>
            </w:r>
            <w:r>
              <w:rPr>
                <w:rFonts w:ascii="ArialMT" w:cs="ArialMT"/>
                <w:color w:val="000000"/>
              </w:rPr>
              <w:t xml:space="preserve">by BOOST Consortium, </w:t>
            </w:r>
            <w:r w:rsidRPr="00B071A9">
              <w:rPr>
                <w:rFonts w:ascii="ArialMT" w:cs="ArialMT"/>
                <w:color w:val="000000"/>
              </w:rPr>
              <w:t xml:space="preserve">Robeson Community College </w:t>
            </w:r>
            <w:r>
              <w:rPr>
                <w:rFonts w:ascii="ArialMT" w:cs="ArialMT"/>
                <w:color w:val="000000"/>
              </w:rPr>
              <w:t xml:space="preserve">is licensed under the Creative Commons Attribution 4.0 International License. To view a copy of this license, visit </w:t>
            </w:r>
            <w:hyperlink r:id="rId2" w:history="1">
              <w:r w:rsidRPr="00D74263">
                <w:rPr>
                  <w:rStyle w:val="Hyperlink"/>
                  <w:rFonts w:ascii="ArialMT" w:cs="ArialMT"/>
                </w:rPr>
                <w:t>Creative Commons 4.0 License</w:t>
              </w:r>
            </w:hyperlink>
          </w:p>
        </w:sdtContent>
      </w:sdt>
    </w:sdtContent>
  </w:sdt>
  <w:p w:rsidR="00120034" w:rsidRPr="00D77EDE" w:rsidRDefault="00625DE6" w:rsidP="00B51FD3">
    <w:pPr>
      <w:tabs>
        <w:tab w:val="center" w:pos="4680"/>
        <w:tab w:val="right" w:pos="9360"/>
      </w:tabs>
      <w:spacing w:line="240" w:lineRule="auto"/>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9" w:rsidRDefault="00B071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EF" w:rsidRDefault="00145EEF">
      <w:pPr>
        <w:spacing w:line="240" w:lineRule="auto"/>
      </w:pPr>
      <w:r>
        <w:separator/>
      </w:r>
    </w:p>
  </w:footnote>
  <w:footnote w:type="continuationSeparator" w:id="0">
    <w:p w:rsidR="00145EEF" w:rsidRDefault="00145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9" w:rsidRDefault="00B071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9" w:rsidRDefault="00B071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9" w:rsidRDefault="00B071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E7"/>
    <w:multiLevelType w:val="hybridMultilevel"/>
    <w:tmpl w:val="F196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4F7"/>
    <w:multiLevelType w:val="hybridMultilevel"/>
    <w:tmpl w:val="E9B2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4E4"/>
    <w:multiLevelType w:val="hybridMultilevel"/>
    <w:tmpl w:val="EF7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432A"/>
    <w:multiLevelType w:val="hybridMultilevel"/>
    <w:tmpl w:val="E6D4FC5C"/>
    <w:lvl w:ilvl="0" w:tplc="04090017">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3F4270D"/>
    <w:multiLevelType w:val="hybridMultilevel"/>
    <w:tmpl w:val="AF4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5544"/>
    <w:multiLevelType w:val="hybridMultilevel"/>
    <w:tmpl w:val="330244A6"/>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22205B9D"/>
    <w:multiLevelType w:val="hybridMultilevel"/>
    <w:tmpl w:val="D6C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0C2E"/>
    <w:multiLevelType w:val="hybridMultilevel"/>
    <w:tmpl w:val="E0C8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20382"/>
    <w:multiLevelType w:val="hybridMultilevel"/>
    <w:tmpl w:val="752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214A9"/>
    <w:multiLevelType w:val="hybridMultilevel"/>
    <w:tmpl w:val="BC96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0049E"/>
    <w:multiLevelType w:val="hybridMultilevel"/>
    <w:tmpl w:val="9D2C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6223E"/>
    <w:multiLevelType w:val="hybridMultilevel"/>
    <w:tmpl w:val="A788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0556D"/>
    <w:multiLevelType w:val="hybridMultilevel"/>
    <w:tmpl w:val="DE8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378AF"/>
    <w:multiLevelType w:val="hybridMultilevel"/>
    <w:tmpl w:val="74FE9F36"/>
    <w:lvl w:ilvl="0" w:tplc="04090011">
      <w:start w:val="1"/>
      <w:numFmt w:val="decimal"/>
      <w:lvlText w:val="%1)"/>
      <w:lvlJc w:val="left"/>
      <w:pPr>
        <w:ind w:left="1008" w:hanging="360"/>
      </w:pPr>
      <w:rPr>
        <w:rFonts w:hint="default"/>
      </w:rPr>
    </w:lvl>
    <w:lvl w:ilvl="1" w:tplc="0409000F">
      <w:start w:val="1"/>
      <w:numFmt w:val="decimal"/>
      <w:lvlText w:val="%2."/>
      <w:lvlJc w:val="left"/>
      <w:pPr>
        <w:ind w:left="720" w:hanging="360"/>
      </w:pPr>
      <w:rPr>
        <w:rFonts w:hint="default"/>
        <w:b w:val="0"/>
      </w:rPr>
    </w:lvl>
    <w:lvl w:ilvl="2" w:tplc="585C4B84">
      <w:numFmt w:val="bullet"/>
      <w:lvlText w:val=""/>
      <w:lvlJc w:val="left"/>
      <w:pPr>
        <w:ind w:left="2808" w:hanging="720"/>
      </w:pPr>
      <w:rPr>
        <w:rFonts w:ascii="Symbol" w:eastAsiaTheme="minorEastAsia" w:hAnsi="Symbol" w:cs="Symbol"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98D1251"/>
    <w:multiLevelType w:val="hybridMultilevel"/>
    <w:tmpl w:val="CA70DD7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10E77A3"/>
    <w:multiLevelType w:val="hybridMultilevel"/>
    <w:tmpl w:val="FC2A7B32"/>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444679EA"/>
    <w:multiLevelType w:val="hybridMultilevel"/>
    <w:tmpl w:val="A58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34333"/>
    <w:multiLevelType w:val="hybridMultilevel"/>
    <w:tmpl w:val="1FAC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E0984"/>
    <w:multiLevelType w:val="hybridMultilevel"/>
    <w:tmpl w:val="7076FA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4C00573"/>
    <w:multiLevelType w:val="hybridMultilevel"/>
    <w:tmpl w:val="9904A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4710F2"/>
    <w:multiLevelType w:val="hybridMultilevel"/>
    <w:tmpl w:val="640A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A1C52"/>
    <w:multiLevelType w:val="hybridMultilevel"/>
    <w:tmpl w:val="4CD4C1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E022F5F"/>
    <w:multiLevelType w:val="hybridMultilevel"/>
    <w:tmpl w:val="1038A1F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2B21037"/>
    <w:multiLevelType w:val="hybridMultilevel"/>
    <w:tmpl w:val="9892B136"/>
    <w:lvl w:ilvl="0" w:tplc="04090011">
      <w:start w:val="1"/>
      <w:numFmt w:val="decimal"/>
      <w:lvlText w:val="%1)"/>
      <w:lvlJc w:val="left"/>
      <w:pPr>
        <w:ind w:left="1008" w:hanging="360"/>
      </w:pPr>
      <w:rPr>
        <w:rFonts w:hint="default"/>
      </w:rPr>
    </w:lvl>
    <w:lvl w:ilvl="1" w:tplc="0409000F">
      <w:start w:val="1"/>
      <w:numFmt w:val="decimal"/>
      <w:lvlText w:val="%2."/>
      <w:lvlJc w:val="left"/>
      <w:pPr>
        <w:ind w:left="720" w:hanging="360"/>
      </w:pPr>
      <w:rPr>
        <w:rFonts w:hint="default"/>
        <w:b w:val="0"/>
      </w:rPr>
    </w:lvl>
    <w:lvl w:ilvl="2" w:tplc="585C4B84">
      <w:numFmt w:val="bullet"/>
      <w:lvlText w:val=""/>
      <w:lvlJc w:val="left"/>
      <w:pPr>
        <w:ind w:left="2808" w:hanging="720"/>
      </w:pPr>
      <w:rPr>
        <w:rFonts w:ascii="Symbol" w:eastAsiaTheme="minorEastAsia" w:hAnsi="Symbol" w:cs="Symbol"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541291B"/>
    <w:multiLevelType w:val="hybridMultilevel"/>
    <w:tmpl w:val="5980F0F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8C805E6"/>
    <w:multiLevelType w:val="hybridMultilevel"/>
    <w:tmpl w:val="05BC584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72A57B86"/>
    <w:multiLevelType w:val="hybridMultilevel"/>
    <w:tmpl w:val="40A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0503E"/>
    <w:multiLevelType w:val="hybridMultilevel"/>
    <w:tmpl w:val="E796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91253"/>
    <w:multiLevelType w:val="multilevel"/>
    <w:tmpl w:val="7362D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146032"/>
    <w:multiLevelType w:val="hybridMultilevel"/>
    <w:tmpl w:val="61A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9"/>
  </w:num>
  <w:num w:numId="4">
    <w:abstractNumId w:val="26"/>
  </w:num>
  <w:num w:numId="5">
    <w:abstractNumId w:val="11"/>
  </w:num>
  <w:num w:numId="6">
    <w:abstractNumId w:val="16"/>
  </w:num>
  <w:num w:numId="7">
    <w:abstractNumId w:val="2"/>
  </w:num>
  <w:num w:numId="8">
    <w:abstractNumId w:val="8"/>
  </w:num>
  <w:num w:numId="9">
    <w:abstractNumId w:val="7"/>
  </w:num>
  <w:num w:numId="10">
    <w:abstractNumId w:val="27"/>
  </w:num>
  <w:num w:numId="11">
    <w:abstractNumId w:val="20"/>
  </w:num>
  <w:num w:numId="12">
    <w:abstractNumId w:val="17"/>
  </w:num>
  <w:num w:numId="13">
    <w:abstractNumId w:val="5"/>
  </w:num>
  <w:num w:numId="14">
    <w:abstractNumId w:val="0"/>
  </w:num>
  <w:num w:numId="15">
    <w:abstractNumId w:val="19"/>
  </w:num>
  <w:num w:numId="16">
    <w:abstractNumId w:val="10"/>
  </w:num>
  <w:num w:numId="17">
    <w:abstractNumId w:val="1"/>
  </w:num>
  <w:num w:numId="18">
    <w:abstractNumId w:val="12"/>
  </w:num>
  <w:num w:numId="19">
    <w:abstractNumId w:val="25"/>
  </w:num>
  <w:num w:numId="20">
    <w:abstractNumId w:val="24"/>
  </w:num>
  <w:num w:numId="21">
    <w:abstractNumId w:val="18"/>
  </w:num>
  <w:num w:numId="22">
    <w:abstractNumId w:val="3"/>
  </w:num>
  <w:num w:numId="23">
    <w:abstractNumId w:val="21"/>
  </w:num>
  <w:num w:numId="24">
    <w:abstractNumId w:val="13"/>
  </w:num>
  <w:num w:numId="25">
    <w:abstractNumId w:val="15"/>
  </w:num>
  <w:num w:numId="26">
    <w:abstractNumId w:val="22"/>
  </w:num>
  <w:num w:numId="27">
    <w:abstractNumId w:val="14"/>
  </w:num>
  <w:num w:numId="28">
    <w:abstractNumId w:val="6"/>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C"/>
    <w:rsid w:val="0007596F"/>
    <w:rsid w:val="0008028F"/>
    <w:rsid w:val="000E229F"/>
    <w:rsid w:val="000F71C0"/>
    <w:rsid w:val="00145EEF"/>
    <w:rsid w:val="00162CB3"/>
    <w:rsid w:val="001C6F8C"/>
    <w:rsid w:val="001D3632"/>
    <w:rsid w:val="00217834"/>
    <w:rsid w:val="00223AB0"/>
    <w:rsid w:val="0025457B"/>
    <w:rsid w:val="00290528"/>
    <w:rsid w:val="00296172"/>
    <w:rsid w:val="002B2516"/>
    <w:rsid w:val="0035137E"/>
    <w:rsid w:val="00362037"/>
    <w:rsid w:val="003C030B"/>
    <w:rsid w:val="0041016C"/>
    <w:rsid w:val="004A70F8"/>
    <w:rsid w:val="00507430"/>
    <w:rsid w:val="00514FA6"/>
    <w:rsid w:val="00567084"/>
    <w:rsid w:val="005A11D2"/>
    <w:rsid w:val="00625DE6"/>
    <w:rsid w:val="006318DF"/>
    <w:rsid w:val="00666303"/>
    <w:rsid w:val="006A45A7"/>
    <w:rsid w:val="006D21AD"/>
    <w:rsid w:val="00705B55"/>
    <w:rsid w:val="00753460"/>
    <w:rsid w:val="00793157"/>
    <w:rsid w:val="007B7A9C"/>
    <w:rsid w:val="00807F0E"/>
    <w:rsid w:val="00835922"/>
    <w:rsid w:val="00933161"/>
    <w:rsid w:val="00941DB2"/>
    <w:rsid w:val="009A4AA0"/>
    <w:rsid w:val="00A92050"/>
    <w:rsid w:val="00AC423A"/>
    <w:rsid w:val="00B071A9"/>
    <w:rsid w:val="00BC0254"/>
    <w:rsid w:val="00C3498D"/>
    <w:rsid w:val="00D03537"/>
    <w:rsid w:val="00D14970"/>
    <w:rsid w:val="00D270E1"/>
    <w:rsid w:val="00D27F41"/>
    <w:rsid w:val="00D9027F"/>
    <w:rsid w:val="00DA1982"/>
    <w:rsid w:val="00E84405"/>
    <w:rsid w:val="00ED1079"/>
    <w:rsid w:val="00F0146F"/>
    <w:rsid w:val="00FA63E4"/>
    <w:rsid w:val="00FC57F8"/>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B3F1"/>
  <w15:chartTrackingRefBased/>
  <w15:docId w15:val="{B906B909-61DB-4E4B-B7B1-3669419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60" w:lineRule="auto"/>
        <w:ind w:left="576" w:hanging="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34"/>
    <w:pPr>
      <w:spacing w:before="0"/>
      <w:ind w:left="0" w:firstLine="0"/>
    </w:pPr>
    <w:rPr>
      <w:rFonts w:eastAsiaTheme="minorEastAsia"/>
      <w:sz w:val="24"/>
    </w:rPr>
  </w:style>
  <w:style w:type="paragraph" w:styleId="Heading1">
    <w:name w:val="heading 1"/>
    <w:basedOn w:val="Normal"/>
    <w:next w:val="Normal"/>
    <w:link w:val="Heading1Char"/>
    <w:uiPriority w:val="9"/>
    <w:qFormat/>
    <w:rsid w:val="00A92050"/>
    <w:pPr>
      <w:keepNext/>
      <w:keepLines/>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A92050"/>
    <w:pPr>
      <w:keepNext/>
      <w:keepLines/>
      <w:spacing w:before="40"/>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A92050"/>
    <w:pPr>
      <w:keepNext/>
      <w:keepLines/>
      <w:spacing w:before="120"/>
      <w:outlineLvl w:val="2"/>
    </w:pPr>
    <w:rPr>
      <w:rFonts w:ascii="Cambria" w:eastAsiaTheme="majorEastAsia" w:hAnsi="Cambria" w:cstheme="majorBidi"/>
      <w:b/>
      <w:spacing w:val="4"/>
      <w:szCs w:val="24"/>
    </w:rPr>
  </w:style>
  <w:style w:type="paragraph" w:styleId="Heading4">
    <w:name w:val="heading 4"/>
    <w:basedOn w:val="Normal"/>
    <w:next w:val="Normal"/>
    <w:link w:val="Heading4Char"/>
    <w:uiPriority w:val="9"/>
    <w:unhideWhenUsed/>
    <w:qFormat/>
    <w:rsid w:val="00A92050"/>
    <w:pPr>
      <w:keepNext/>
      <w:keepLines/>
      <w:spacing w:before="40"/>
      <w:outlineLvl w:val="3"/>
    </w:pPr>
    <w:rPr>
      <w:rFonts w:ascii="Cambria" w:eastAsiaTheme="majorEastAsia" w:hAnsi="Cambria" w:cstheme="majorBidi"/>
      <w:i/>
      <w:iCs/>
      <w:color w:val="000000" w:themeColor="text1"/>
    </w:rPr>
  </w:style>
  <w:style w:type="paragraph" w:styleId="Heading5">
    <w:name w:val="heading 5"/>
    <w:basedOn w:val="Normal"/>
    <w:next w:val="Normal"/>
    <w:link w:val="Heading5Char"/>
    <w:uiPriority w:val="9"/>
    <w:semiHidden/>
    <w:unhideWhenUsed/>
    <w:qFormat/>
    <w:rsid w:val="00A92050"/>
    <w:pPr>
      <w:keepNext/>
      <w:keepLines/>
      <w:spacing w:before="40"/>
      <w:outlineLvl w:val="4"/>
    </w:pPr>
    <w:rPr>
      <w:rFonts w:ascii="Cambria" w:eastAsiaTheme="majorEastAsia" w:hAnsi="Cambr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6C"/>
    <w:pPr>
      <w:tabs>
        <w:tab w:val="center" w:pos="4680"/>
        <w:tab w:val="right" w:pos="9360"/>
      </w:tabs>
    </w:pPr>
  </w:style>
  <w:style w:type="character" w:customStyle="1" w:styleId="HeaderChar">
    <w:name w:val="Header Char"/>
    <w:basedOn w:val="DefaultParagraphFont"/>
    <w:link w:val="Header"/>
    <w:uiPriority w:val="99"/>
    <w:rsid w:val="0041016C"/>
    <w:rPr>
      <w:rFonts w:ascii="Calibri" w:eastAsia="Times New Roman" w:hAnsi="Calibri" w:cs="Calibri"/>
      <w:kern w:val="28"/>
    </w:rPr>
  </w:style>
  <w:style w:type="paragraph" w:styleId="Footer">
    <w:name w:val="footer"/>
    <w:basedOn w:val="Normal"/>
    <w:link w:val="FooterChar"/>
    <w:uiPriority w:val="99"/>
    <w:unhideWhenUsed/>
    <w:rsid w:val="0041016C"/>
    <w:pPr>
      <w:tabs>
        <w:tab w:val="center" w:pos="4680"/>
        <w:tab w:val="right" w:pos="9360"/>
      </w:tabs>
    </w:pPr>
  </w:style>
  <w:style w:type="character" w:customStyle="1" w:styleId="FooterChar">
    <w:name w:val="Footer Char"/>
    <w:basedOn w:val="DefaultParagraphFont"/>
    <w:link w:val="Footer"/>
    <w:uiPriority w:val="99"/>
    <w:rsid w:val="0041016C"/>
    <w:rPr>
      <w:rFonts w:ascii="Calibri" w:eastAsia="Times New Roman" w:hAnsi="Calibri" w:cs="Calibri"/>
      <w:kern w:val="28"/>
    </w:rPr>
  </w:style>
  <w:style w:type="paragraph" w:styleId="ListParagraph">
    <w:name w:val="List Paragraph"/>
    <w:basedOn w:val="Normal"/>
    <w:uiPriority w:val="34"/>
    <w:qFormat/>
    <w:rsid w:val="00A92050"/>
    <w:pPr>
      <w:contextualSpacing/>
    </w:pPr>
    <w:rPr>
      <w:color w:val="000000" w:themeColor="text1"/>
    </w:rPr>
  </w:style>
  <w:style w:type="table" w:styleId="TableGrid">
    <w:name w:val="Table Grid"/>
    <w:basedOn w:val="TableNormal"/>
    <w:uiPriority w:val="59"/>
    <w:rsid w:val="0041016C"/>
    <w:pPr>
      <w:spacing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0B"/>
    <w:rPr>
      <w:rFonts w:ascii="Segoe UI" w:eastAsia="Times New Roman" w:hAnsi="Segoe UI" w:cs="Segoe UI"/>
      <w:kern w:val="28"/>
      <w:sz w:val="18"/>
      <w:szCs w:val="18"/>
    </w:rPr>
  </w:style>
  <w:style w:type="character" w:customStyle="1" w:styleId="Heading1Char">
    <w:name w:val="Heading 1 Char"/>
    <w:basedOn w:val="DefaultParagraphFont"/>
    <w:link w:val="Heading1"/>
    <w:uiPriority w:val="9"/>
    <w:rsid w:val="00A92050"/>
    <w:rPr>
      <w:rFonts w:ascii="Cambria" w:eastAsiaTheme="majorEastAsia" w:hAnsi="Cambria" w:cstheme="majorBidi"/>
      <w:b/>
      <w:color w:val="262626" w:themeColor="text1" w:themeTint="D9"/>
      <w:sz w:val="32"/>
      <w:szCs w:val="32"/>
    </w:rPr>
  </w:style>
  <w:style w:type="character" w:styleId="Hyperlink">
    <w:name w:val="Hyperlink"/>
    <w:basedOn w:val="DefaultParagraphFont"/>
    <w:uiPriority w:val="99"/>
    <w:unhideWhenUsed/>
    <w:rsid w:val="00362037"/>
    <w:rPr>
      <w:color w:val="0563C1" w:themeColor="hyperlink"/>
      <w:u w:val="single"/>
    </w:rPr>
  </w:style>
  <w:style w:type="paragraph" w:customStyle="1" w:styleId="BOOSTBW">
    <w:name w:val="BOOST B&amp;W"/>
    <w:basedOn w:val="Normal"/>
    <w:next w:val="Normal"/>
    <w:link w:val="BOOSTBWChar"/>
    <w:autoRedefine/>
    <w:qFormat/>
    <w:rsid w:val="00A92050"/>
    <w:rPr>
      <w:b/>
    </w:rPr>
  </w:style>
  <w:style w:type="character" w:customStyle="1" w:styleId="BOOSTBWChar">
    <w:name w:val="BOOST B&amp;W Char"/>
    <w:basedOn w:val="DefaultParagraphFont"/>
    <w:link w:val="BOOSTBW"/>
    <w:rsid w:val="00A92050"/>
    <w:rPr>
      <w:rFonts w:eastAsiaTheme="minorEastAsia"/>
      <w:b/>
    </w:rPr>
  </w:style>
  <w:style w:type="character" w:customStyle="1" w:styleId="Heading2Char">
    <w:name w:val="Heading 2 Char"/>
    <w:basedOn w:val="DefaultParagraphFont"/>
    <w:link w:val="Heading2"/>
    <w:uiPriority w:val="9"/>
    <w:rsid w:val="00A92050"/>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A92050"/>
    <w:rPr>
      <w:rFonts w:ascii="Cambria" w:eastAsiaTheme="majorEastAsia" w:hAnsi="Cambria" w:cstheme="majorBidi"/>
      <w:b/>
      <w:spacing w:val="4"/>
      <w:sz w:val="24"/>
      <w:szCs w:val="24"/>
    </w:rPr>
  </w:style>
  <w:style w:type="character" w:customStyle="1" w:styleId="Heading4Char">
    <w:name w:val="Heading 4 Char"/>
    <w:basedOn w:val="DefaultParagraphFont"/>
    <w:link w:val="Heading4"/>
    <w:uiPriority w:val="9"/>
    <w:rsid w:val="00A92050"/>
    <w:rPr>
      <w:rFonts w:ascii="Cambria" w:eastAsiaTheme="majorEastAsia" w:hAnsi="Cambria" w:cstheme="majorBidi"/>
      <w:i/>
      <w:iCs/>
      <w:color w:val="000000" w:themeColor="text1"/>
      <w:sz w:val="24"/>
    </w:rPr>
  </w:style>
  <w:style w:type="character" w:customStyle="1" w:styleId="Heading5Char">
    <w:name w:val="Heading 5 Char"/>
    <w:basedOn w:val="DefaultParagraphFont"/>
    <w:link w:val="Heading5"/>
    <w:uiPriority w:val="9"/>
    <w:semiHidden/>
    <w:rsid w:val="00A92050"/>
    <w:rPr>
      <w:rFonts w:ascii="Cambria" w:eastAsiaTheme="majorEastAsia" w:hAnsi="Cambria" w:cstheme="majorBidi"/>
      <w:color w:val="262626" w:themeColor="text1" w:themeTint="D9"/>
      <w:sz w:val="24"/>
    </w:rPr>
  </w:style>
  <w:style w:type="paragraph" w:styleId="Title">
    <w:name w:val="Title"/>
    <w:basedOn w:val="Normal"/>
    <w:next w:val="Normal"/>
    <w:link w:val="TitleChar"/>
    <w:uiPriority w:val="10"/>
    <w:qFormat/>
    <w:rsid w:val="00A92050"/>
    <w:pPr>
      <w:spacing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A92050"/>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A9205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92050"/>
    <w:rPr>
      <w:rFonts w:eastAsiaTheme="minorEastAsia"/>
      <w:color w:val="5A5A5A" w:themeColor="text1" w:themeTint="A5"/>
      <w:spacing w:val="15"/>
    </w:rPr>
  </w:style>
  <w:style w:type="character" w:styleId="Strong">
    <w:name w:val="Strong"/>
    <w:basedOn w:val="DefaultParagraphFont"/>
    <w:uiPriority w:val="22"/>
    <w:qFormat/>
    <w:rsid w:val="00A92050"/>
    <w:rPr>
      <w:b/>
      <w:bCs/>
    </w:rPr>
  </w:style>
  <w:style w:type="character" w:styleId="Emphasis">
    <w:name w:val="Emphasis"/>
    <w:basedOn w:val="DefaultParagraphFont"/>
    <w:uiPriority w:val="20"/>
    <w:qFormat/>
    <w:rsid w:val="00217834"/>
    <w:rPr>
      <w:rFonts w:asciiTheme="minorHAnsi" w:hAnsiTheme="minorHAnsi"/>
      <w:b/>
      <w:i/>
      <w:iCs/>
      <w:sz w:val="24"/>
    </w:rPr>
  </w:style>
  <w:style w:type="paragraph" w:styleId="NoSpacing">
    <w:name w:val="No Spacing"/>
    <w:uiPriority w:val="1"/>
    <w:qFormat/>
    <w:rsid w:val="00A92050"/>
    <w:pPr>
      <w:spacing w:line="240" w:lineRule="auto"/>
    </w:pPr>
    <w:rPr>
      <w:rFonts w:eastAsiaTheme="minorEastAsia"/>
    </w:rPr>
  </w:style>
  <w:style w:type="paragraph" w:styleId="Quote">
    <w:name w:val="Quote"/>
    <w:basedOn w:val="Normal"/>
    <w:next w:val="Normal"/>
    <w:link w:val="QuoteChar"/>
    <w:uiPriority w:val="29"/>
    <w:qFormat/>
    <w:rsid w:val="00A920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2050"/>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A9205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A92050"/>
    <w:rPr>
      <w:rFonts w:eastAsiaTheme="minorEastAsia"/>
      <w:i/>
      <w:iCs/>
      <w:color w:val="000000" w:themeColor="text1"/>
    </w:rPr>
  </w:style>
  <w:style w:type="character" w:styleId="SubtleEmphasis">
    <w:name w:val="Subtle Emphasis"/>
    <w:basedOn w:val="DefaultParagraphFont"/>
    <w:uiPriority w:val="19"/>
    <w:qFormat/>
    <w:rsid w:val="00A92050"/>
    <w:rPr>
      <w:i/>
      <w:iCs/>
      <w:color w:val="404040" w:themeColor="text1" w:themeTint="BF"/>
    </w:rPr>
  </w:style>
  <w:style w:type="character" w:styleId="IntenseEmphasis">
    <w:name w:val="Intense Emphasis"/>
    <w:basedOn w:val="BookTitle"/>
    <w:uiPriority w:val="21"/>
    <w:qFormat/>
    <w:rsid w:val="00A92050"/>
    <w:rPr>
      <w:rFonts w:ascii="Calibri" w:hAnsi="Calibri"/>
      <w:b/>
      <w:bCs/>
      <w:i/>
      <w:iCs/>
      <w:spacing w:val="5"/>
      <w:sz w:val="24"/>
      <w:u w:val="single"/>
    </w:rPr>
  </w:style>
  <w:style w:type="character" w:styleId="BookTitle">
    <w:name w:val="Book Title"/>
    <w:basedOn w:val="DefaultParagraphFont"/>
    <w:uiPriority w:val="33"/>
    <w:qFormat/>
    <w:rsid w:val="00217834"/>
    <w:rPr>
      <w:rFonts w:ascii="Calibri" w:hAnsi="Calibri"/>
      <w:b/>
      <w:bCs/>
      <w:i/>
      <w:iCs/>
      <w:spacing w:val="5"/>
      <w:sz w:val="24"/>
    </w:rPr>
  </w:style>
  <w:style w:type="character" w:styleId="SubtleReference">
    <w:name w:val="Subtle Reference"/>
    <w:basedOn w:val="DefaultParagraphFont"/>
    <w:uiPriority w:val="31"/>
    <w:qFormat/>
    <w:rsid w:val="00A92050"/>
    <w:rPr>
      <w:smallCaps/>
      <w:color w:val="5A5A5A" w:themeColor="text1" w:themeTint="A5"/>
    </w:rPr>
  </w:style>
  <w:style w:type="character" w:styleId="IntenseReference">
    <w:name w:val="Intense Reference"/>
    <w:basedOn w:val="DefaultParagraphFont"/>
    <w:uiPriority w:val="32"/>
    <w:qFormat/>
    <w:rsid w:val="00A92050"/>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D@robes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deed.en_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Robeson Community College - Information Technology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Pait</dc:creator>
  <cp:keywords/>
  <dc:description/>
  <cp:lastModifiedBy>hendrixmh@midlandstech.edu</cp:lastModifiedBy>
  <cp:revision>5</cp:revision>
  <cp:lastPrinted>2016-11-29T19:23:00Z</cp:lastPrinted>
  <dcterms:created xsi:type="dcterms:W3CDTF">2017-05-29T19:12:00Z</dcterms:created>
  <dcterms:modified xsi:type="dcterms:W3CDTF">2017-06-19T11:16:00Z</dcterms:modified>
</cp:coreProperties>
</file>