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31B" w:rsidRPr="007A3859" w:rsidRDefault="00081051" w:rsidP="00975CAD">
      <w:pPr>
        <w:pStyle w:val="Heading2"/>
        <w:spacing w:before="0" w:after="120" w:line="240" w:lineRule="auto"/>
        <w:jc w:val="center"/>
      </w:pPr>
      <w:r>
        <w:t>Phlebotomy, AHS 142-01</w:t>
      </w:r>
    </w:p>
    <w:p w:rsidR="00975CAD" w:rsidRDefault="00081051" w:rsidP="00975CAD">
      <w:pPr>
        <w:pStyle w:val="Heading2"/>
        <w:spacing w:before="0" w:after="120" w:line="240" w:lineRule="auto"/>
        <w:jc w:val="center"/>
      </w:pPr>
      <w:r>
        <w:t>Fall, 2016</w:t>
      </w:r>
    </w:p>
    <w:p w:rsidR="00DF131B" w:rsidRDefault="00DF131B" w:rsidP="00F31290">
      <w:pPr>
        <w:pStyle w:val="Heading2"/>
        <w:spacing w:before="240"/>
        <w:jc w:val="left"/>
      </w:pPr>
      <w:r w:rsidRPr="00B617AD">
        <w:t>GENERAL INFORMATION</w:t>
      </w:r>
    </w:p>
    <w:p w:rsidR="00FF32EC" w:rsidRDefault="00FF32EC" w:rsidP="00FF32EC">
      <w:pPr>
        <w:rPr>
          <w:rStyle w:val="PlaceholderText"/>
          <w:rFonts w:ascii="Calibri Light" w:hAnsi="Calibri Light"/>
          <w:color w:val="auto"/>
          <w:szCs w:val="24"/>
        </w:rPr>
      </w:pPr>
      <w:r w:rsidRPr="00FF32EC">
        <w:rPr>
          <w:rStyle w:val="Strong"/>
        </w:rPr>
        <w:t>Instructor:</w:t>
      </w:r>
      <w:r>
        <w:rPr>
          <w:rFonts w:ascii="Calibri Light" w:hAnsi="Calibri Light"/>
        </w:rPr>
        <w:t xml:space="preserve">  </w:t>
      </w:r>
      <w:r w:rsidRPr="00C61DEA">
        <w:t>[Instructor]</w:t>
      </w:r>
    </w:p>
    <w:p w:rsidR="00FF32EC" w:rsidRDefault="00FF32EC" w:rsidP="00FF32EC">
      <w:pPr>
        <w:rPr>
          <w:rStyle w:val="PlaceholderText"/>
          <w:rFonts w:ascii="Calibri Light" w:hAnsi="Calibri Light"/>
          <w:color w:val="auto"/>
          <w:szCs w:val="24"/>
        </w:rPr>
      </w:pPr>
      <w:r w:rsidRPr="00FF32EC">
        <w:rPr>
          <w:rStyle w:val="Strong"/>
        </w:rPr>
        <w:t>Class time:</w:t>
      </w:r>
      <w:r>
        <w:rPr>
          <w:rFonts w:ascii="Calibri Light" w:hAnsi="Calibri Light"/>
        </w:rPr>
        <w:t xml:space="preserve"> </w:t>
      </w:r>
      <w:r w:rsidRPr="00C61DEA">
        <w:t>[MW: 10:00-10:50]</w:t>
      </w:r>
    </w:p>
    <w:p w:rsidR="00FF32EC" w:rsidRDefault="00FF32EC" w:rsidP="00FF32EC">
      <w:pPr>
        <w:rPr>
          <w:rFonts w:ascii="Calibri Light" w:hAnsi="Calibri Light"/>
          <w:szCs w:val="24"/>
        </w:rPr>
      </w:pPr>
      <w:r w:rsidRPr="00C61DEA">
        <w:rPr>
          <w:rStyle w:val="Strong"/>
        </w:rPr>
        <w:t>Semester hours:</w:t>
      </w:r>
      <w:r>
        <w:rPr>
          <w:rFonts w:ascii="Calibri Light" w:hAnsi="Calibri Light"/>
          <w:b/>
        </w:rPr>
        <w:t xml:space="preserve"> </w:t>
      </w:r>
      <w:r w:rsidRPr="00C61DEA">
        <w:t>[2-0-2]</w:t>
      </w:r>
    </w:p>
    <w:p w:rsidR="00FF32EC" w:rsidRDefault="00FF32EC" w:rsidP="00FF32EC">
      <w:pPr>
        <w:ind w:left="720"/>
        <w:rPr>
          <w:rFonts w:ascii="Calibri Light" w:hAnsi="Calibri Light"/>
          <w:szCs w:val="24"/>
        </w:rPr>
      </w:pPr>
      <w:r w:rsidRPr="00C61DEA">
        <w:rPr>
          <w:rStyle w:val="Strong"/>
        </w:rPr>
        <w:t>Lecture Hours:</w:t>
      </w:r>
      <w:r w:rsidRPr="00191AC9">
        <w:rPr>
          <w:rFonts w:ascii="Calibri Light" w:hAnsi="Calibri Light"/>
          <w:szCs w:val="24"/>
        </w:rPr>
        <w:t xml:space="preserve"> </w:t>
      </w:r>
      <w:r w:rsidRPr="00C61DEA">
        <w:t>[# 2 hours]</w:t>
      </w:r>
      <w:r w:rsidRPr="00191AC9">
        <w:rPr>
          <w:rFonts w:ascii="Calibri Light" w:hAnsi="Calibri Light"/>
          <w:szCs w:val="24"/>
        </w:rPr>
        <w:t xml:space="preserve">  </w:t>
      </w:r>
    </w:p>
    <w:p w:rsidR="00FF32EC" w:rsidRDefault="00FF32EC" w:rsidP="00FF32EC">
      <w:pPr>
        <w:ind w:left="720"/>
        <w:rPr>
          <w:rStyle w:val="PlaceholderText"/>
          <w:rFonts w:ascii="Calibri Light" w:hAnsi="Calibri Light"/>
          <w:szCs w:val="24"/>
        </w:rPr>
      </w:pPr>
      <w:r w:rsidRPr="00C61DEA">
        <w:rPr>
          <w:rStyle w:val="Strong"/>
        </w:rPr>
        <w:t>Lab Hours:</w:t>
      </w:r>
      <w:r w:rsidRPr="007A3859">
        <w:rPr>
          <w:rFonts w:ascii="Calibri Light" w:hAnsi="Calibri Light"/>
          <w:b/>
          <w:szCs w:val="24"/>
        </w:rPr>
        <w:t xml:space="preserve">   </w:t>
      </w:r>
      <w:r w:rsidRPr="00C61DEA">
        <w:t>[0]</w:t>
      </w:r>
    </w:p>
    <w:p w:rsidR="00FF32EC" w:rsidRPr="00C61DEA" w:rsidRDefault="00FF32EC" w:rsidP="00FF32EC">
      <w:pPr>
        <w:rPr>
          <w:rStyle w:val="Strong"/>
        </w:rPr>
      </w:pPr>
      <w:r w:rsidRPr="00C61DEA">
        <w:rPr>
          <w:rStyle w:val="Strong"/>
        </w:rPr>
        <w:t xml:space="preserve">Class Location:  </w:t>
      </w:r>
    </w:p>
    <w:p w:rsidR="00FF32EC" w:rsidRDefault="00FF32EC" w:rsidP="00FF32EC">
      <w:pPr>
        <w:ind w:left="720"/>
        <w:rPr>
          <w:rStyle w:val="PlaceholderText"/>
          <w:rFonts w:ascii="Calibri Light" w:hAnsi="Calibri Light"/>
          <w:szCs w:val="24"/>
        </w:rPr>
      </w:pPr>
      <w:r w:rsidRPr="00C61DEA">
        <w:rPr>
          <w:rStyle w:val="Strong"/>
        </w:rPr>
        <w:t>Campus:</w:t>
      </w:r>
      <w:r>
        <w:rPr>
          <w:rStyle w:val="PlaceholderText"/>
          <w:rFonts w:ascii="Calibri Light" w:hAnsi="Calibri Light"/>
          <w:szCs w:val="24"/>
        </w:rPr>
        <w:t xml:space="preserve"> </w:t>
      </w:r>
      <w:r w:rsidRPr="00C61DEA">
        <w:t>[HSC]</w:t>
      </w:r>
    </w:p>
    <w:p w:rsidR="00FF32EC" w:rsidRDefault="00FF32EC" w:rsidP="00FF32EC">
      <w:pPr>
        <w:ind w:left="720"/>
        <w:rPr>
          <w:rStyle w:val="PlaceholderText"/>
          <w:rFonts w:ascii="Calibri Light" w:hAnsi="Calibri Light"/>
          <w:szCs w:val="24"/>
        </w:rPr>
      </w:pPr>
      <w:r w:rsidRPr="00C61DEA">
        <w:rPr>
          <w:rStyle w:val="Strong"/>
        </w:rPr>
        <w:t>Room:</w:t>
      </w:r>
      <w:r>
        <w:rPr>
          <w:rStyle w:val="PlaceholderText"/>
          <w:rFonts w:ascii="Calibri Light" w:hAnsi="Calibri Light"/>
          <w:szCs w:val="24"/>
        </w:rPr>
        <w:t xml:space="preserve"> </w:t>
      </w:r>
      <w:r w:rsidRPr="00C61DEA">
        <w:t>[185]</w:t>
      </w:r>
    </w:p>
    <w:p w:rsidR="00FF32EC" w:rsidRDefault="00FF32EC" w:rsidP="00FF32EC">
      <w:pPr>
        <w:rPr>
          <w:rStyle w:val="PlaceholderText"/>
          <w:rFonts w:ascii="Calibri Light" w:hAnsi="Calibri Light"/>
          <w:szCs w:val="24"/>
        </w:rPr>
      </w:pPr>
      <w:r w:rsidRPr="00C61DEA">
        <w:rPr>
          <w:rStyle w:val="Strong"/>
        </w:rPr>
        <w:t>Phone</w:t>
      </w:r>
      <w:r w:rsidR="00C61DEA">
        <w:rPr>
          <w:rStyle w:val="Strong"/>
        </w:rPr>
        <w:t>:</w:t>
      </w:r>
      <w:r>
        <w:rPr>
          <w:rStyle w:val="PlaceholderText"/>
          <w:rFonts w:ascii="Calibri Light" w:hAnsi="Calibri Light"/>
          <w:szCs w:val="24"/>
        </w:rPr>
        <w:t xml:space="preserve"> </w:t>
      </w:r>
      <w:r w:rsidRPr="00C61DEA">
        <w:t>(843) 661-xxxx</w:t>
      </w:r>
    </w:p>
    <w:p w:rsidR="00FF32EC" w:rsidRDefault="00FF32EC" w:rsidP="00FF32EC">
      <w:pPr>
        <w:rPr>
          <w:rStyle w:val="PlaceholderText"/>
          <w:rFonts w:ascii="Calibri Light" w:hAnsi="Calibri Light"/>
          <w:szCs w:val="24"/>
        </w:rPr>
      </w:pPr>
      <w:r w:rsidRPr="00C61DEA">
        <w:rPr>
          <w:rStyle w:val="Strong"/>
        </w:rPr>
        <w:t>Office Hours:</w:t>
      </w:r>
      <w:r>
        <w:rPr>
          <w:rStyle w:val="PlaceholderText"/>
          <w:rFonts w:ascii="Calibri Light" w:hAnsi="Calibri Light"/>
          <w:szCs w:val="24"/>
        </w:rPr>
        <w:t xml:space="preserve">  </w:t>
      </w:r>
      <w:r w:rsidRPr="00C61DEA">
        <w:t>[insert office hours]</w:t>
      </w:r>
    </w:p>
    <w:p w:rsidR="00FF32EC" w:rsidRDefault="00FF32EC" w:rsidP="00FF32EC">
      <w:pPr>
        <w:rPr>
          <w:rStyle w:val="PlaceholderText"/>
          <w:rFonts w:ascii="Calibri Light" w:hAnsi="Calibri Light"/>
          <w:szCs w:val="24"/>
        </w:rPr>
      </w:pPr>
      <w:r w:rsidRPr="00C61DEA">
        <w:rPr>
          <w:rStyle w:val="Strong"/>
        </w:rPr>
        <w:t>Office Location</w:t>
      </w:r>
      <w:r w:rsidR="00C61DEA" w:rsidRPr="00C61DEA">
        <w:rPr>
          <w:rStyle w:val="Strong"/>
        </w:rPr>
        <w:t>:</w:t>
      </w:r>
      <w:r>
        <w:rPr>
          <w:rStyle w:val="PlaceholderText"/>
          <w:rFonts w:ascii="Calibri Light" w:hAnsi="Calibri Light"/>
          <w:szCs w:val="24"/>
        </w:rPr>
        <w:t xml:space="preserve"> </w:t>
      </w:r>
      <w:r w:rsidRPr="00C61DEA">
        <w:t>[HSC-xxx]</w:t>
      </w:r>
    </w:p>
    <w:p w:rsidR="00FF32EC" w:rsidRDefault="00FF32EC" w:rsidP="00FF32EC">
      <w:pPr>
        <w:rPr>
          <w:rStyle w:val="PlaceholderText"/>
          <w:rFonts w:ascii="Calibri Light" w:hAnsi="Calibri Light"/>
          <w:szCs w:val="24"/>
        </w:rPr>
      </w:pPr>
      <w:r w:rsidRPr="00C61DEA">
        <w:rPr>
          <w:rStyle w:val="Strong"/>
        </w:rPr>
        <w:t>Email</w:t>
      </w:r>
      <w:r w:rsidR="00C61DEA" w:rsidRPr="00C61DEA">
        <w:rPr>
          <w:rStyle w:val="Strong"/>
        </w:rPr>
        <w:t>:</w:t>
      </w:r>
      <w:r>
        <w:rPr>
          <w:rStyle w:val="PlaceholderText"/>
          <w:rFonts w:ascii="Calibri Light" w:hAnsi="Calibri Light"/>
          <w:szCs w:val="24"/>
        </w:rPr>
        <w:t xml:space="preserve"> </w:t>
      </w:r>
      <w:r w:rsidRPr="00C61DEA">
        <w:t>[instructor@fdtc.edu]</w:t>
      </w:r>
    </w:p>
    <w:p w:rsidR="00FF32EC" w:rsidRDefault="00FF32EC" w:rsidP="00FF32EC">
      <w:pPr>
        <w:rPr>
          <w:rStyle w:val="PlaceholderText"/>
          <w:rFonts w:ascii="Calibri Light" w:hAnsi="Calibri Light"/>
          <w:szCs w:val="24"/>
        </w:rPr>
      </w:pPr>
      <w:r w:rsidRPr="00C61DEA">
        <w:rPr>
          <w:rStyle w:val="Strong"/>
        </w:rPr>
        <w:t>Website</w:t>
      </w:r>
      <w:r w:rsidR="00C61DEA" w:rsidRPr="00C61DEA">
        <w:rPr>
          <w:rStyle w:val="Strong"/>
        </w:rPr>
        <w:t>:</w:t>
      </w:r>
      <w:r w:rsidRPr="00C61DEA">
        <w:rPr>
          <w:rStyle w:val="Strong"/>
        </w:rPr>
        <w:t xml:space="preserve"> </w:t>
      </w:r>
      <w:hyperlink r:id="rId8" w:history="1">
        <w:r w:rsidRPr="00DE1F7A">
          <w:rPr>
            <w:rStyle w:val="Hyperlink"/>
            <w:rFonts w:ascii="Calibri Light" w:hAnsi="Calibri Light"/>
            <w:szCs w:val="24"/>
          </w:rPr>
          <w:t>Florence Darlington Technical College</w:t>
        </w:r>
      </w:hyperlink>
    </w:p>
    <w:p w:rsidR="00C61DEA" w:rsidRPr="00C61DEA" w:rsidRDefault="00C61DEA" w:rsidP="00C61DEA">
      <w:pPr>
        <w:pStyle w:val="Heading2"/>
        <w:spacing w:before="240"/>
        <w:jc w:val="left"/>
      </w:pPr>
      <w:r>
        <w:t>COURSE INFORMATION</w:t>
      </w:r>
    </w:p>
    <w:p w:rsidR="00DF131B" w:rsidRPr="007A3859" w:rsidRDefault="00DF131B" w:rsidP="00DD5694">
      <w:pPr>
        <w:pStyle w:val="Heading3"/>
        <w:rPr>
          <w:rFonts w:ascii="Calibri" w:hAnsi="Calibri"/>
        </w:rPr>
      </w:pPr>
      <w:r w:rsidRPr="007A3859">
        <w:rPr>
          <w:rFonts w:ascii="Calibri" w:hAnsi="Calibri"/>
        </w:rPr>
        <w:t xml:space="preserve">COURSE DESCRIPTION  </w:t>
      </w:r>
    </w:p>
    <w:p w:rsidR="00DF131B" w:rsidRPr="00081051" w:rsidRDefault="00081051" w:rsidP="00AA4ADB">
      <w:pPr>
        <w:spacing w:before="120" w:after="120"/>
        <w:rPr>
          <w:rFonts w:ascii="Calibri" w:hAnsi="Calibri"/>
          <w:szCs w:val="24"/>
        </w:rPr>
      </w:pPr>
      <w:r w:rsidRPr="00081051">
        <w:rPr>
          <w:rFonts w:ascii="Calibri" w:hAnsi="Calibri"/>
          <w:szCs w:val="24"/>
        </w:rPr>
        <w:t>This course is a study of phlebotomy procedures utilized in clinical facilities and physicians' offices.</w:t>
      </w:r>
    </w:p>
    <w:p w:rsidR="00081051" w:rsidRDefault="00DF131B" w:rsidP="00081051">
      <w:pPr>
        <w:pStyle w:val="Heading3"/>
        <w:rPr>
          <w:rFonts w:ascii="Calibri" w:hAnsi="Calibri"/>
          <w:bCs/>
        </w:rPr>
      </w:pPr>
      <w:r w:rsidRPr="007A3859">
        <w:rPr>
          <w:rFonts w:ascii="Calibri" w:hAnsi="Calibri"/>
          <w:bCs/>
        </w:rPr>
        <w:t xml:space="preserve">PREREQUISITES  </w:t>
      </w:r>
    </w:p>
    <w:p w:rsidR="00DF131B" w:rsidRPr="00081051" w:rsidRDefault="003A297A" w:rsidP="00081051">
      <w:pPr>
        <w:pStyle w:val="Heading3"/>
        <w:rPr>
          <w:rFonts w:ascii="Calibri" w:hAnsi="Calibri"/>
          <w:b w:val="0"/>
          <w:bCs/>
        </w:rPr>
      </w:pPr>
      <w:r>
        <w:rPr>
          <w:rFonts w:ascii="Calibri" w:hAnsi="Calibri"/>
          <w:b w:val="0"/>
        </w:rPr>
        <w:t xml:space="preserve">AHS 102, AHS 180, AHS 205, BIO 110, CPT 170, AHS </w:t>
      </w:r>
      <w:r w:rsidRPr="003A297A">
        <w:rPr>
          <w:rFonts w:ascii="Calibri" w:hAnsi="Calibri"/>
          <w:b w:val="0"/>
        </w:rPr>
        <w:t>131,</w:t>
      </w:r>
      <w:r>
        <w:rPr>
          <w:rFonts w:ascii="Calibri" w:hAnsi="Calibri"/>
          <w:b w:val="0"/>
        </w:rPr>
        <w:t xml:space="preserve"> and</w:t>
      </w:r>
      <w:r w:rsidRPr="003A297A">
        <w:rPr>
          <w:rFonts w:ascii="Calibri" w:hAnsi="Calibri"/>
          <w:b w:val="0"/>
        </w:rPr>
        <w:t xml:space="preserve"> NUR 134</w:t>
      </w:r>
    </w:p>
    <w:p w:rsidR="00DF131B" w:rsidRPr="007A3859" w:rsidRDefault="00CF5F50" w:rsidP="00DD5694">
      <w:pPr>
        <w:pStyle w:val="Heading3"/>
        <w:rPr>
          <w:rFonts w:ascii="Calibri" w:hAnsi="Calibri"/>
          <w:bCs/>
        </w:rPr>
      </w:pPr>
      <w:r>
        <w:rPr>
          <w:rFonts w:ascii="Calibri" w:hAnsi="Calibri"/>
          <w:bCs/>
        </w:rPr>
        <w:t>COURSE PURPOSE</w:t>
      </w:r>
    </w:p>
    <w:p w:rsidR="00CF5F50" w:rsidRPr="00081051" w:rsidRDefault="00081051" w:rsidP="00AA4ADB">
      <w:pPr>
        <w:spacing w:before="120" w:after="120" w:line="360" w:lineRule="auto"/>
        <w:rPr>
          <w:rFonts w:asciiTheme="majorHAnsi" w:hAnsiTheme="majorHAnsi"/>
          <w:szCs w:val="24"/>
        </w:rPr>
      </w:pPr>
      <w:r>
        <w:rPr>
          <w:rFonts w:asciiTheme="majorHAnsi" w:hAnsiTheme="majorHAnsi"/>
          <w:szCs w:val="24"/>
        </w:rPr>
        <w:t xml:space="preserve">This course was designed as a supplemental skill for the FDTC CNA certificate and other health programs who need specific information on phlebotomy procedures.  The focus of the course will be </w:t>
      </w:r>
      <w:r w:rsidR="00371940">
        <w:rPr>
          <w:rFonts w:asciiTheme="majorHAnsi" w:hAnsiTheme="majorHAnsi"/>
          <w:szCs w:val="24"/>
        </w:rPr>
        <w:t xml:space="preserve">safety, </w:t>
      </w:r>
      <w:r>
        <w:rPr>
          <w:rFonts w:asciiTheme="majorHAnsi" w:hAnsiTheme="majorHAnsi"/>
          <w:szCs w:val="24"/>
        </w:rPr>
        <w:t>equipment, technique</w:t>
      </w:r>
      <w:r w:rsidR="00371940">
        <w:rPr>
          <w:rFonts w:asciiTheme="majorHAnsi" w:hAnsiTheme="majorHAnsi"/>
          <w:szCs w:val="24"/>
        </w:rPr>
        <w:t xml:space="preserve"> for adult phlebotomy and capillary punctures.  Collection is by simulation only.</w:t>
      </w:r>
    </w:p>
    <w:p w:rsidR="00E00165" w:rsidRPr="00E00165" w:rsidRDefault="00E00165" w:rsidP="00C61DEA">
      <w:pPr>
        <w:pStyle w:val="Heading3"/>
      </w:pPr>
      <w:r w:rsidRPr="00E00165">
        <w:lastRenderedPageBreak/>
        <w:t>TEXTBOOK AND SUPPLEMENTAL READING MATERIALS:</w:t>
      </w:r>
    </w:p>
    <w:p w:rsidR="00975CAD" w:rsidRDefault="00975CAD" w:rsidP="00C61DEA">
      <w:pPr>
        <w:pStyle w:val="Heading4"/>
        <w:spacing w:before="240" w:after="120" w:line="360" w:lineRule="auto"/>
      </w:pPr>
      <w:r>
        <w:t>Textbook(s)</w:t>
      </w:r>
    </w:p>
    <w:p w:rsidR="00F31290" w:rsidRPr="00F31290" w:rsidRDefault="00F31290" w:rsidP="00AA4ADB">
      <w:pPr>
        <w:spacing w:line="360" w:lineRule="auto"/>
        <w:ind w:left="720" w:hanging="720"/>
      </w:pPr>
      <w:proofErr w:type="spellStart"/>
      <w:r w:rsidRPr="00F31290">
        <w:t>Hoeltke</w:t>
      </w:r>
      <w:proofErr w:type="spellEnd"/>
      <w:r w:rsidRPr="00F31290">
        <w:t>, Lynn B</w:t>
      </w:r>
      <w:r>
        <w:rPr>
          <w:rFonts w:ascii="Open Sans" w:hAnsi="Open Sans" w:cs="Open Sans"/>
          <w:b/>
          <w:bCs/>
          <w:color w:val="333333"/>
          <w:sz w:val="21"/>
          <w:szCs w:val="21"/>
          <w:shd w:val="clear" w:color="auto" w:fill="FFFFFF"/>
        </w:rPr>
        <w:t>.</w:t>
      </w:r>
      <w:r w:rsidRPr="00F31290">
        <w:rPr>
          <w:rStyle w:val="BookTitle"/>
        </w:rPr>
        <w:t xml:space="preserve"> Phlebotomy: procedures and practices. </w:t>
      </w:r>
      <w:r w:rsidRPr="00F31290">
        <w:t>2nd ed. Clifton Park, NY: Delmar Cengage Learning, 2013. Print.</w:t>
      </w:r>
    </w:p>
    <w:p w:rsidR="005E4F16" w:rsidRDefault="00CF5F50" w:rsidP="00C61DEA">
      <w:pPr>
        <w:pStyle w:val="Heading3"/>
        <w:spacing w:after="120"/>
        <w:rPr>
          <w:rFonts w:ascii="Calibri" w:hAnsi="Calibri"/>
        </w:rPr>
      </w:pPr>
      <w:r>
        <w:rPr>
          <w:rFonts w:ascii="Calibri" w:hAnsi="Calibri"/>
        </w:rPr>
        <w:t>LEARNING OUTCOMES</w:t>
      </w:r>
    </w:p>
    <w:p w:rsidR="00CF5F50" w:rsidRPr="00BC7939" w:rsidRDefault="00F57E77" w:rsidP="00BC7939">
      <w:pPr>
        <w:spacing w:line="360" w:lineRule="auto"/>
        <w:rPr>
          <w:rFonts w:cstheme="minorHAnsi"/>
        </w:rPr>
      </w:pPr>
      <w:r w:rsidRPr="00BC7939">
        <w:rPr>
          <w:rFonts w:cstheme="minorHAnsi"/>
        </w:rPr>
        <w:t>Upon Completion of this course the student will be able to:</w:t>
      </w:r>
    </w:p>
    <w:p w:rsidR="00BC7939" w:rsidRDefault="00BC7939" w:rsidP="00BC7939">
      <w:pPr>
        <w:pStyle w:val="ListParagraph"/>
        <w:numPr>
          <w:ilvl w:val="0"/>
          <w:numId w:val="24"/>
        </w:numPr>
      </w:pPr>
      <w:r w:rsidRPr="00BC7939">
        <w:t>Describe</w:t>
      </w:r>
      <w:r w:rsidRPr="003E0E97">
        <w:t xml:space="preserve"> the structure of the health care delivery system</w:t>
      </w:r>
      <w:r>
        <w:t>.</w:t>
      </w:r>
    </w:p>
    <w:p w:rsidR="00890286" w:rsidRDefault="003E0E97" w:rsidP="00BC7939">
      <w:pPr>
        <w:pStyle w:val="ListParagraph"/>
        <w:numPr>
          <w:ilvl w:val="0"/>
          <w:numId w:val="24"/>
        </w:numPr>
      </w:pPr>
      <w:r w:rsidRPr="003E0E97">
        <w:t>Identify the requirements mandated by the Occupational Exposure to Bloodborne Pathogens, Hazard Communication and other saf</w:t>
      </w:r>
      <w:r>
        <w:t>ety protocols as they relate to the role of the phlebotomist.</w:t>
      </w:r>
    </w:p>
    <w:p w:rsidR="003E0E97" w:rsidRPr="003E0E97" w:rsidRDefault="003E0E97" w:rsidP="00BC7939">
      <w:pPr>
        <w:pStyle w:val="ListParagraph"/>
        <w:numPr>
          <w:ilvl w:val="0"/>
          <w:numId w:val="24"/>
        </w:numPr>
      </w:pPr>
      <w:r w:rsidRPr="003E0E97">
        <w:t xml:space="preserve">Define and correctly use selected medical terms in their proper context. </w:t>
      </w:r>
    </w:p>
    <w:p w:rsidR="003E0E97" w:rsidRPr="003E0E97" w:rsidRDefault="003E0E97" w:rsidP="00BC7939">
      <w:pPr>
        <w:pStyle w:val="ListParagraph"/>
        <w:numPr>
          <w:ilvl w:val="0"/>
          <w:numId w:val="24"/>
        </w:numPr>
      </w:pPr>
      <w:r>
        <w:t>Discuss basic anatomy and physiology as it relates to the role of the phlebotomist.</w:t>
      </w:r>
    </w:p>
    <w:p w:rsidR="003E0E97" w:rsidRDefault="003E0E97" w:rsidP="00BC7939">
      <w:pPr>
        <w:pStyle w:val="ListParagraph"/>
        <w:numPr>
          <w:ilvl w:val="0"/>
          <w:numId w:val="24"/>
        </w:numPr>
      </w:pPr>
      <w:r w:rsidRPr="003E0E97">
        <w:t>Identify and demonstrate appropriate specimen collection techniques</w:t>
      </w:r>
      <w:r>
        <w:t>.</w:t>
      </w:r>
    </w:p>
    <w:p w:rsidR="003E0E97" w:rsidRDefault="003E0E97" w:rsidP="00BC7939">
      <w:pPr>
        <w:pStyle w:val="ListParagraph"/>
        <w:numPr>
          <w:ilvl w:val="0"/>
          <w:numId w:val="24"/>
        </w:numPr>
      </w:pPr>
      <w:r w:rsidRPr="003E0E97">
        <w:t>Define quality phlebotomy and explain the impact on patient care.</w:t>
      </w:r>
    </w:p>
    <w:p w:rsidR="002D0117" w:rsidRDefault="00860324" w:rsidP="00BC7939">
      <w:pPr>
        <w:pStyle w:val="ListParagraph"/>
        <w:numPr>
          <w:ilvl w:val="0"/>
          <w:numId w:val="24"/>
        </w:numPr>
      </w:pPr>
      <w:r w:rsidRPr="00860324">
        <w:t xml:space="preserve">Identify legal and ethical issues and considerations pertaining to phlebotomy. </w:t>
      </w:r>
    </w:p>
    <w:p w:rsidR="00DF131B" w:rsidRPr="002D0117" w:rsidRDefault="00C4449A" w:rsidP="002D0117">
      <w:pPr>
        <w:pStyle w:val="Heading3"/>
        <w:spacing w:before="240" w:after="120"/>
        <w:rPr>
          <w:rFonts w:asciiTheme="minorHAnsi" w:hAnsiTheme="minorHAnsi"/>
        </w:rPr>
      </w:pPr>
      <w:r w:rsidRPr="002D0117">
        <w:t>COURSE</w:t>
      </w:r>
      <w:r w:rsidR="00F67985" w:rsidRPr="002D0117">
        <w:t xml:space="preserve"> TOPICAL </w:t>
      </w:r>
      <w:r w:rsidRPr="002D0117">
        <w:t>OUTLINE</w:t>
      </w:r>
    </w:p>
    <w:tbl>
      <w:tblPr>
        <w:tblStyle w:val="TableGrid"/>
        <w:tblW w:w="0" w:type="auto"/>
        <w:tblInd w:w="288" w:type="dxa"/>
        <w:tblLook w:val="04A0" w:firstRow="1" w:lastRow="0" w:firstColumn="1" w:lastColumn="0" w:noHBand="0" w:noVBand="1"/>
        <w:tblCaption w:val="Course Topical Outline"/>
        <w:tblDescription w:val="Weekly outine of course topics and cooresponding text pages"/>
      </w:tblPr>
      <w:tblGrid>
        <w:gridCol w:w="791"/>
        <w:gridCol w:w="4496"/>
        <w:gridCol w:w="2340"/>
      </w:tblGrid>
      <w:tr w:rsidR="00860324" w:rsidRPr="00860324" w:rsidTr="000E4EBE">
        <w:trPr>
          <w:tblHeader/>
        </w:trPr>
        <w:tc>
          <w:tcPr>
            <w:tcW w:w="791" w:type="dxa"/>
          </w:tcPr>
          <w:p w:rsidR="00860324" w:rsidRPr="002D0117" w:rsidRDefault="00860324" w:rsidP="00DD5694">
            <w:pPr>
              <w:rPr>
                <w:rStyle w:val="Strong"/>
              </w:rPr>
            </w:pPr>
            <w:r w:rsidRPr="002D0117">
              <w:rPr>
                <w:rStyle w:val="Strong"/>
              </w:rPr>
              <w:t>Week</w:t>
            </w:r>
          </w:p>
        </w:tc>
        <w:tc>
          <w:tcPr>
            <w:tcW w:w="4496" w:type="dxa"/>
          </w:tcPr>
          <w:p w:rsidR="00860324" w:rsidRPr="002D0117" w:rsidRDefault="00860324" w:rsidP="00DD5694">
            <w:pPr>
              <w:rPr>
                <w:rStyle w:val="Strong"/>
              </w:rPr>
            </w:pPr>
            <w:r w:rsidRPr="002D0117">
              <w:rPr>
                <w:rStyle w:val="Strong"/>
              </w:rPr>
              <w:t>Lesson  Title</w:t>
            </w:r>
          </w:p>
        </w:tc>
        <w:tc>
          <w:tcPr>
            <w:tcW w:w="2340" w:type="dxa"/>
          </w:tcPr>
          <w:p w:rsidR="00860324" w:rsidRPr="002D0117" w:rsidRDefault="004409B5" w:rsidP="00DD5694">
            <w:pPr>
              <w:rPr>
                <w:rStyle w:val="Strong"/>
              </w:rPr>
            </w:pPr>
            <w:r w:rsidRPr="002D0117">
              <w:rPr>
                <w:rStyle w:val="Strong"/>
              </w:rPr>
              <w:t>Text</w:t>
            </w:r>
          </w:p>
        </w:tc>
      </w:tr>
      <w:tr w:rsidR="00860324" w:rsidRPr="00860324" w:rsidTr="000E4EBE">
        <w:tc>
          <w:tcPr>
            <w:tcW w:w="791" w:type="dxa"/>
          </w:tcPr>
          <w:p w:rsidR="00860324" w:rsidRPr="00860324" w:rsidRDefault="00860324" w:rsidP="00DD5694">
            <w:pPr>
              <w:rPr>
                <w:rFonts w:ascii="Calibri" w:hAnsi="Calibri"/>
              </w:rPr>
            </w:pPr>
            <w:r>
              <w:rPr>
                <w:rFonts w:ascii="Calibri" w:hAnsi="Calibri"/>
              </w:rPr>
              <w:t>1</w:t>
            </w:r>
          </w:p>
        </w:tc>
        <w:tc>
          <w:tcPr>
            <w:tcW w:w="4496" w:type="dxa"/>
          </w:tcPr>
          <w:p w:rsidR="00860324" w:rsidRPr="00860324" w:rsidRDefault="003957AA" w:rsidP="00DD5694">
            <w:pPr>
              <w:rPr>
                <w:rFonts w:ascii="Calibri" w:hAnsi="Calibri"/>
              </w:rPr>
            </w:pPr>
            <w:r>
              <w:rPr>
                <w:rFonts w:ascii="Calibri" w:hAnsi="Calibri"/>
              </w:rPr>
              <w:t xml:space="preserve">Introduction to phlebotomy and </w:t>
            </w:r>
            <w:r w:rsidR="00860324">
              <w:rPr>
                <w:rFonts w:ascii="Calibri" w:hAnsi="Calibri"/>
              </w:rPr>
              <w:t>health care structure</w:t>
            </w:r>
          </w:p>
        </w:tc>
        <w:tc>
          <w:tcPr>
            <w:tcW w:w="2340" w:type="dxa"/>
          </w:tcPr>
          <w:p w:rsidR="00C91CC4" w:rsidRDefault="003957AA" w:rsidP="00DD5694">
            <w:pPr>
              <w:rPr>
                <w:rFonts w:ascii="Calibri" w:hAnsi="Calibri"/>
              </w:rPr>
            </w:pPr>
            <w:r>
              <w:rPr>
                <w:rFonts w:ascii="Calibri" w:hAnsi="Calibri"/>
              </w:rPr>
              <w:t xml:space="preserve"> Pages 1-4</w:t>
            </w:r>
          </w:p>
        </w:tc>
      </w:tr>
      <w:tr w:rsidR="00860324" w:rsidRPr="00860324" w:rsidTr="000E4EBE">
        <w:tc>
          <w:tcPr>
            <w:tcW w:w="791" w:type="dxa"/>
          </w:tcPr>
          <w:p w:rsidR="00860324" w:rsidRPr="00860324" w:rsidRDefault="00860324" w:rsidP="00DD5694">
            <w:pPr>
              <w:rPr>
                <w:rFonts w:ascii="Calibri" w:hAnsi="Calibri"/>
              </w:rPr>
            </w:pPr>
            <w:r>
              <w:rPr>
                <w:rFonts w:ascii="Calibri" w:hAnsi="Calibri"/>
              </w:rPr>
              <w:t>2</w:t>
            </w:r>
          </w:p>
        </w:tc>
        <w:tc>
          <w:tcPr>
            <w:tcW w:w="4496" w:type="dxa"/>
          </w:tcPr>
          <w:p w:rsidR="00860324" w:rsidRPr="00860324" w:rsidRDefault="00C91CC4" w:rsidP="00DD5694">
            <w:pPr>
              <w:rPr>
                <w:rFonts w:ascii="Calibri" w:hAnsi="Calibri"/>
              </w:rPr>
            </w:pPr>
            <w:r>
              <w:rPr>
                <w:rFonts w:ascii="Calibri" w:hAnsi="Calibri"/>
              </w:rPr>
              <w:t>Safety,</w:t>
            </w:r>
            <w:r w:rsidR="003957AA">
              <w:rPr>
                <w:rFonts w:ascii="Calibri" w:hAnsi="Calibri"/>
              </w:rPr>
              <w:t xml:space="preserve"> Hazard Communication</w:t>
            </w:r>
            <w:r w:rsidR="000E4EBE">
              <w:rPr>
                <w:rFonts w:ascii="Calibri" w:hAnsi="Calibri"/>
              </w:rPr>
              <w:t>,</w:t>
            </w:r>
            <w:r>
              <w:rPr>
                <w:rFonts w:ascii="Calibri" w:hAnsi="Calibri"/>
              </w:rPr>
              <w:t xml:space="preserve"> and Standard Precautions</w:t>
            </w:r>
          </w:p>
        </w:tc>
        <w:tc>
          <w:tcPr>
            <w:tcW w:w="2340" w:type="dxa"/>
          </w:tcPr>
          <w:p w:rsidR="00860324" w:rsidRPr="00860324" w:rsidRDefault="00C91CC4" w:rsidP="00DD5694">
            <w:pPr>
              <w:rPr>
                <w:rFonts w:ascii="Calibri" w:hAnsi="Calibri"/>
              </w:rPr>
            </w:pPr>
            <w:r>
              <w:rPr>
                <w:rFonts w:ascii="Calibri" w:hAnsi="Calibri"/>
              </w:rPr>
              <w:t>Pages 5-13</w:t>
            </w:r>
          </w:p>
        </w:tc>
      </w:tr>
      <w:tr w:rsidR="00860324" w:rsidRPr="00860324" w:rsidTr="000E4EBE">
        <w:tc>
          <w:tcPr>
            <w:tcW w:w="791" w:type="dxa"/>
          </w:tcPr>
          <w:p w:rsidR="00860324" w:rsidRPr="00860324" w:rsidRDefault="00860324" w:rsidP="00DD5694">
            <w:pPr>
              <w:rPr>
                <w:rFonts w:ascii="Calibri" w:hAnsi="Calibri"/>
              </w:rPr>
            </w:pPr>
            <w:r>
              <w:rPr>
                <w:rFonts w:ascii="Calibri" w:hAnsi="Calibri"/>
              </w:rPr>
              <w:t>3</w:t>
            </w:r>
            <w:r w:rsidR="000D42FE">
              <w:rPr>
                <w:rFonts w:ascii="Calibri" w:hAnsi="Calibri"/>
              </w:rPr>
              <w:t>-4</w:t>
            </w:r>
          </w:p>
        </w:tc>
        <w:tc>
          <w:tcPr>
            <w:tcW w:w="4496" w:type="dxa"/>
          </w:tcPr>
          <w:p w:rsidR="00860324" w:rsidRPr="00860324" w:rsidRDefault="00C91CC4" w:rsidP="00DD5694">
            <w:pPr>
              <w:rPr>
                <w:rFonts w:ascii="Calibri" w:hAnsi="Calibri"/>
              </w:rPr>
            </w:pPr>
            <w:r>
              <w:rPr>
                <w:rFonts w:ascii="Calibri" w:hAnsi="Calibri"/>
              </w:rPr>
              <w:t>Medical terminolog</w:t>
            </w:r>
            <w:r w:rsidR="002D4F9B">
              <w:rPr>
                <w:rFonts w:ascii="Calibri" w:hAnsi="Calibri"/>
              </w:rPr>
              <w:t>y, Hemostasis –</w:t>
            </w:r>
            <w:r w:rsidR="000E4EBE">
              <w:rPr>
                <w:rFonts w:ascii="Calibri" w:hAnsi="Calibri"/>
              </w:rPr>
              <w:t xml:space="preserve"> </w:t>
            </w:r>
            <w:r w:rsidR="002D4F9B">
              <w:rPr>
                <w:rFonts w:ascii="Calibri" w:hAnsi="Calibri"/>
              </w:rPr>
              <w:t>blood components</w:t>
            </w:r>
          </w:p>
        </w:tc>
        <w:tc>
          <w:tcPr>
            <w:tcW w:w="2340" w:type="dxa"/>
          </w:tcPr>
          <w:p w:rsidR="004239C0" w:rsidRPr="00860324" w:rsidRDefault="00C91CC4" w:rsidP="00DD5694">
            <w:pPr>
              <w:rPr>
                <w:rFonts w:ascii="Calibri" w:hAnsi="Calibri"/>
              </w:rPr>
            </w:pPr>
            <w:r>
              <w:rPr>
                <w:rFonts w:ascii="Calibri" w:hAnsi="Calibri"/>
              </w:rPr>
              <w:t>Pages 14-16</w:t>
            </w:r>
          </w:p>
        </w:tc>
      </w:tr>
      <w:tr w:rsidR="00860324" w:rsidRPr="00860324" w:rsidTr="000E4EBE">
        <w:tc>
          <w:tcPr>
            <w:tcW w:w="791" w:type="dxa"/>
          </w:tcPr>
          <w:p w:rsidR="00860324" w:rsidRPr="00860324" w:rsidRDefault="00860324" w:rsidP="00DD5694">
            <w:pPr>
              <w:rPr>
                <w:rFonts w:ascii="Calibri" w:hAnsi="Calibri"/>
              </w:rPr>
            </w:pPr>
            <w:r>
              <w:rPr>
                <w:rFonts w:ascii="Calibri" w:hAnsi="Calibri"/>
              </w:rPr>
              <w:t>4</w:t>
            </w:r>
          </w:p>
        </w:tc>
        <w:tc>
          <w:tcPr>
            <w:tcW w:w="4496" w:type="dxa"/>
          </w:tcPr>
          <w:p w:rsidR="00860324" w:rsidRPr="00860324" w:rsidRDefault="004239C0" w:rsidP="00DD5694">
            <w:pPr>
              <w:rPr>
                <w:rFonts w:ascii="Calibri" w:hAnsi="Calibri"/>
              </w:rPr>
            </w:pPr>
            <w:r w:rsidRPr="004239C0">
              <w:rPr>
                <w:rFonts w:ascii="Calibri" w:hAnsi="Calibri"/>
              </w:rPr>
              <w:t>Circulatory System</w:t>
            </w:r>
          </w:p>
        </w:tc>
        <w:tc>
          <w:tcPr>
            <w:tcW w:w="2340" w:type="dxa"/>
          </w:tcPr>
          <w:p w:rsidR="00860324" w:rsidRPr="00860324" w:rsidRDefault="004239C0" w:rsidP="00DD5694">
            <w:pPr>
              <w:rPr>
                <w:rFonts w:ascii="Calibri" w:hAnsi="Calibri"/>
              </w:rPr>
            </w:pPr>
            <w:r w:rsidRPr="004239C0">
              <w:rPr>
                <w:rFonts w:ascii="Calibri" w:hAnsi="Calibri"/>
              </w:rPr>
              <w:t>Pages 34-82</w:t>
            </w:r>
          </w:p>
        </w:tc>
      </w:tr>
      <w:tr w:rsidR="00860324" w:rsidRPr="00860324" w:rsidTr="000E4EBE">
        <w:tc>
          <w:tcPr>
            <w:tcW w:w="791" w:type="dxa"/>
          </w:tcPr>
          <w:p w:rsidR="00860324" w:rsidRPr="00860324" w:rsidRDefault="00860324" w:rsidP="00DD5694">
            <w:pPr>
              <w:rPr>
                <w:rFonts w:ascii="Calibri" w:hAnsi="Calibri"/>
              </w:rPr>
            </w:pPr>
            <w:r>
              <w:rPr>
                <w:rFonts w:ascii="Calibri" w:hAnsi="Calibri"/>
              </w:rPr>
              <w:t>5</w:t>
            </w:r>
          </w:p>
        </w:tc>
        <w:tc>
          <w:tcPr>
            <w:tcW w:w="4496" w:type="dxa"/>
          </w:tcPr>
          <w:p w:rsidR="00860324" w:rsidRPr="00860324" w:rsidRDefault="004239C0" w:rsidP="00DD5694">
            <w:pPr>
              <w:rPr>
                <w:rFonts w:ascii="Calibri" w:hAnsi="Calibri"/>
              </w:rPr>
            </w:pPr>
            <w:r w:rsidRPr="004239C0">
              <w:rPr>
                <w:rFonts w:ascii="Calibri" w:hAnsi="Calibri"/>
              </w:rPr>
              <w:t>Anticoagulants</w:t>
            </w:r>
          </w:p>
        </w:tc>
        <w:tc>
          <w:tcPr>
            <w:tcW w:w="2340" w:type="dxa"/>
          </w:tcPr>
          <w:p w:rsidR="00860324" w:rsidRPr="00860324" w:rsidRDefault="004239C0" w:rsidP="00DD5694">
            <w:pPr>
              <w:rPr>
                <w:rFonts w:ascii="Calibri" w:hAnsi="Calibri"/>
              </w:rPr>
            </w:pPr>
            <w:r w:rsidRPr="004239C0">
              <w:rPr>
                <w:rFonts w:ascii="Calibri" w:hAnsi="Calibri"/>
              </w:rPr>
              <w:t>Pages 17-28</w:t>
            </w:r>
          </w:p>
        </w:tc>
      </w:tr>
      <w:tr w:rsidR="00860324" w:rsidRPr="00860324" w:rsidTr="000E4EBE">
        <w:tc>
          <w:tcPr>
            <w:tcW w:w="791" w:type="dxa"/>
          </w:tcPr>
          <w:p w:rsidR="00860324" w:rsidRPr="00860324" w:rsidRDefault="001922EA" w:rsidP="00DD5694">
            <w:pPr>
              <w:rPr>
                <w:rFonts w:ascii="Calibri" w:hAnsi="Calibri"/>
              </w:rPr>
            </w:pPr>
            <w:r>
              <w:rPr>
                <w:rFonts w:ascii="Calibri" w:hAnsi="Calibri"/>
              </w:rPr>
              <w:t>6-</w:t>
            </w:r>
            <w:r w:rsidR="000D42FE">
              <w:rPr>
                <w:rFonts w:ascii="Calibri" w:hAnsi="Calibri"/>
              </w:rPr>
              <w:t>7</w:t>
            </w:r>
          </w:p>
        </w:tc>
        <w:tc>
          <w:tcPr>
            <w:tcW w:w="4496" w:type="dxa"/>
          </w:tcPr>
          <w:p w:rsidR="00860324" w:rsidRPr="00860324" w:rsidRDefault="004239C0" w:rsidP="00DD5694">
            <w:pPr>
              <w:rPr>
                <w:rFonts w:ascii="Calibri" w:hAnsi="Calibri"/>
              </w:rPr>
            </w:pPr>
            <w:r w:rsidRPr="004239C0">
              <w:rPr>
                <w:rFonts w:ascii="Calibri" w:hAnsi="Calibri"/>
              </w:rPr>
              <w:t>Blood Collection Equipment</w:t>
            </w:r>
          </w:p>
        </w:tc>
        <w:tc>
          <w:tcPr>
            <w:tcW w:w="2340" w:type="dxa"/>
          </w:tcPr>
          <w:p w:rsidR="00860324" w:rsidRPr="00860324" w:rsidRDefault="004239C0" w:rsidP="00DD5694">
            <w:pPr>
              <w:rPr>
                <w:rFonts w:ascii="Calibri" w:hAnsi="Calibri"/>
              </w:rPr>
            </w:pPr>
            <w:r w:rsidRPr="004239C0">
              <w:rPr>
                <w:rFonts w:ascii="Calibri" w:hAnsi="Calibri"/>
              </w:rPr>
              <w:t>Pages 28-39</w:t>
            </w:r>
          </w:p>
        </w:tc>
      </w:tr>
      <w:tr w:rsidR="00860324" w:rsidRPr="00860324" w:rsidTr="000E4EBE">
        <w:tc>
          <w:tcPr>
            <w:tcW w:w="791" w:type="dxa"/>
          </w:tcPr>
          <w:p w:rsidR="00860324" w:rsidRPr="00860324" w:rsidRDefault="000D42FE" w:rsidP="00DD5694">
            <w:pPr>
              <w:rPr>
                <w:rFonts w:ascii="Calibri" w:hAnsi="Calibri"/>
              </w:rPr>
            </w:pPr>
            <w:r>
              <w:rPr>
                <w:rFonts w:ascii="Calibri" w:hAnsi="Calibri"/>
              </w:rPr>
              <w:t>8</w:t>
            </w:r>
          </w:p>
        </w:tc>
        <w:tc>
          <w:tcPr>
            <w:tcW w:w="4496" w:type="dxa"/>
          </w:tcPr>
          <w:p w:rsidR="00860324" w:rsidRPr="00860324" w:rsidRDefault="002D4F9B" w:rsidP="000E4EBE">
            <w:pPr>
              <w:rPr>
                <w:rFonts w:ascii="Calibri" w:hAnsi="Calibri"/>
              </w:rPr>
            </w:pPr>
            <w:r>
              <w:rPr>
                <w:rFonts w:ascii="Calibri" w:hAnsi="Calibri"/>
              </w:rPr>
              <w:t>Patient Identification</w:t>
            </w:r>
            <w:r w:rsidR="000E4EBE">
              <w:rPr>
                <w:rFonts w:ascii="Calibri" w:hAnsi="Calibri"/>
              </w:rPr>
              <w:t>/</w:t>
            </w:r>
            <w:r w:rsidR="000D42FE">
              <w:rPr>
                <w:rFonts w:ascii="Calibri" w:hAnsi="Calibri"/>
              </w:rPr>
              <w:t>Requisitions</w:t>
            </w:r>
          </w:p>
        </w:tc>
        <w:tc>
          <w:tcPr>
            <w:tcW w:w="2340" w:type="dxa"/>
          </w:tcPr>
          <w:p w:rsidR="00860324" w:rsidRPr="00860324" w:rsidRDefault="004409B5" w:rsidP="00DD5694">
            <w:pPr>
              <w:rPr>
                <w:rFonts w:ascii="Calibri" w:hAnsi="Calibri"/>
              </w:rPr>
            </w:pPr>
            <w:r>
              <w:rPr>
                <w:rFonts w:ascii="Calibri" w:hAnsi="Calibri"/>
              </w:rPr>
              <w:t xml:space="preserve">Pages </w:t>
            </w:r>
            <w:r w:rsidR="002D4F9B">
              <w:rPr>
                <w:rFonts w:ascii="Calibri" w:hAnsi="Calibri"/>
              </w:rPr>
              <w:t>41-46</w:t>
            </w:r>
          </w:p>
        </w:tc>
      </w:tr>
      <w:tr w:rsidR="00860324" w:rsidRPr="00860324" w:rsidTr="000E4EBE">
        <w:tc>
          <w:tcPr>
            <w:tcW w:w="791" w:type="dxa"/>
          </w:tcPr>
          <w:p w:rsidR="00860324" w:rsidRPr="00860324" w:rsidRDefault="000D42FE" w:rsidP="00DD5694">
            <w:pPr>
              <w:rPr>
                <w:rFonts w:ascii="Calibri" w:hAnsi="Calibri"/>
              </w:rPr>
            </w:pPr>
            <w:r>
              <w:rPr>
                <w:rFonts w:ascii="Calibri" w:hAnsi="Calibri"/>
              </w:rPr>
              <w:t>9-10</w:t>
            </w:r>
          </w:p>
        </w:tc>
        <w:tc>
          <w:tcPr>
            <w:tcW w:w="4496" w:type="dxa"/>
          </w:tcPr>
          <w:p w:rsidR="00860324" w:rsidRPr="00860324" w:rsidRDefault="000D42FE" w:rsidP="00DD5694">
            <w:pPr>
              <w:rPr>
                <w:rFonts w:ascii="Calibri" w:hAnsi="Calibri"/>
              </w:rPr>
            </w:pPr>
            <w:r>
              <w:rPr>
                <w:rFonts w:ascii="Calibri" w:hAnsi="Calibri"/>
              </w:rPr>
              <w:t>Venipuncture Technique</w:t>
            </w:r>
          </w:p>
        </w:tc>
        <w:tc>
          <w:tcPr>
            <w:tcW w:w="2340" w:type="dxa"/>
          </w:tcPr>
          <w:p w:rsidR="00860324" w:rsidRPr="00860324" w:rsidRDefault="004409B5" w:rsidP="00DD5694">
            <w:pPr>
              <w:rPr>
                <w:rFonts w:ascii="Calibri" w:hAnsi="Calibri"/>
              </w:rPr>
            </w:pPr>
            <w:r>
              <w:rPr>
                <w:rFonts w:ascii="Calibri" w:hAnsi="Calibri"/>
              </w:rPr>
              <w:t xml:space="preserve">Pages </w:t>
            </w:r>
            <w:r w:rsidR="000D42FE">
              <w:rPr>
                <w:rFonts w:ascii="Calibri" w:hAnsi="Calibri"/>
              </w:rPr>
              <w:t>63-95</w:t>
            </w:r>
          </w:p>
        </w:tc>
      </w:tr>
      <w:tr w:rsidR="00860324" w:rsidRPr="00860324" w:rsidTr="000E4EBE">
        <w:tc>
          <w:tcPr>
            <w:tcW w:w="791" w:type="dxa"/>
          </w:tcPr>
          <w:p w:rsidR="00860324" w:rsidRPr="00860324" w:rsidRDefault="000D42FE" w:rsidP="00DD5694">
            <w:pPr>
              <w:rPr>
                <w:rFonts w:ascii="Calibri" w:hAnsi="Calibri"/>
              </w:rPr>
            </w:pPr>
            <w:r>
              <w:rPr>
                <w:rFonts w:ascii="Calibri" w:hAnsi="Calibri"/>
              </w:rPr>
              <w:t>11</w:t>
            </w:r>
          </w:p>
        </w:tc>
        <w:tc>
          <w:tcPr>
            <w:tcW w:w="4496" w:type="dxa"/>
          </w:tcPr>
          <w:p w:rsidR="00860324" w:rsidRPr="00860324" w:rsidRDefault="000E4EBE" w:rsidP="000E4EBE">
            <w:pPr>
              <w:ind w:right="-108"/>
              <w:jc w:val="left"/>
              <w:rPr>
                <w:rFonts w:ascii="Calibri" w:hAnsi="Calibri"/>
              </w:rPr>
            </w:pPr>
            <w:r>
              <w:rPr>
                <w:rFonts w:ascii="Calibri" w:hAnsi="Calibri"/>
              </w:rPr>
              <w:t xml:space="preserve">Micro-collection </w:t>
            </w:r>
            <w:r w:rsidR="000D42FE">
              <w:rPr>
                <w:rFonts w:ascii="Calibri" w:hAnsi="Calibri"/>
              </w:rPr>
              <w:t>capillary</w:t>
            </w:r>
            <w:r>
              <w:rPr>
                <w:rFonts w:ascii="Calibri" w:hAnsi="Calibri"/>
              </w:rPr>
              <w:t xml:space="preserve">/dermal </w:t>
            </w:r>
            <w:r w:rsidR="000D42FE">
              <w:rPr>
                <w:rFonts w:ascii="Calibri" w:hAnsi="Calibri"/>
              </w:rPr>
              <w:t>punctures</w:t>
            </w:r>
          </w:p>
        </w:tc>
        <w:tc>
          <w:tcPr>
            <w:tcW w:w="2340" w:type="dxa"/>
          </w:tcPr>
          <w:p w:rsidR="00860324" w:rsidRPr="00860324" w:rsidRDefault="004409B5" w:rsidP="00DD5694">
            <w:pPr>
              <w:rPr>
                <w:rFonts w:ascii="Calibri" w:hAnsi="Calibri"/>
              </w:rPr>
            </w:pPr>
            <w:r>
              <w:rPr>
                <w:rFonts w:ascii="Calibri" w:hAnsi="Calibri"/>
              </w:rPr>
              <w:t xml:space="preserve">Pages </w:t>
            </w:r>
            <w:r w:rsidR="000D42FE">
              <w:rPr>
                <w:rFonts w:ascii="Calibri" w:hAnsi="Calibri"/>
              </w:rPr>
              <w:t>121-144</w:t>
            </w:r>
          </w:p>
        </w:tc>
      </w:tr>
      <w:tr w:rsidR="00860324" w:rsidRPr="00860324" w:rsidTr="000E4EBE">
        <w:tc>
          <w:tcPr>
            <w:tcW w:w="791" w:type="dxa"/>
          </w:tcPr>
          <w:p w:rsidR="00860324" w:rsidRPr="00860324" w:rsidRDefault="00860324" w:rsidP="00DD5694">
            <w:pPr>
              <w:rPr>
                <w:rFonts w:ascii="Calibri" w:hAnsi="Calibri"/>
              </w:rPr>
            </w:pPr>
            <w:r>
              <w:rPr>
                <w:rFonts w:ascii="Calibri" w:hAnsi="Calibri"/>
              </w:rPr>
              <w:t>1</w:t>
            </w:r>
            <w:r w:rsidR="000D42FE">
              <w:rPr>
                <w:rFonts w:ascii="Calibri" w:hAnsi="Calibri"/>
              </w:rPr>
              <w:t>2</w:t>
            </w:r>
          </w:p>
        </w:tc>
        <w:tc>
          <w:tcPr>
            <w:tcW w:w="4496" w:type="dxa"/>
          </w:tcPr>
          <w:p w:rsidR="00860324" w:rsidRPr="00860324" w:rsidRDefault="000D42FE" w:rsidP="00DD5694">
            <w:pPr>
              <w:rPr>
                <w:rFonts w:ascii="Calibri" w:hAnsi="Calibri"/>
              </w:rPr>
            </w:pPr>
            <w:r w:rsidRPr="000D42FE">
              <w:rPr>
                <w:rFonts w:ascii="Calibri" w:hAnsi="Calibri"/>
              </w:rPr>
              <w:t>Venous/capillary blood, complications of venipuncture, sample integrity</w:t>
            </w:r>
          </w:p>
        </w:tc>
        <w:tc>
          <w:tcPr>
            <w:tcW w:w="2340" w:type="dxa"/>
          </w:tcPr>
          <w:p w:rsidR="00860324" w:rsidRPr="00860324" w:rsidRDefault="004409B5" w:rsidP="00DD5694">
            <w:pPr>
              <w:rPr>
                <w:rFonts w:ascii="Calibri" w:hAnsi="Calibri"/>
              </w:rPr>
            </w:pPr>
            <w:r>
              <w:rPr>
                <w:rFonts w:ascii="Calibri" w:hAnsi="Calibri"/>
              </w:rPr>
              <w:t xml:space="preserve">Pages </w:t>
            </w:r>
            <w:r w:rsidR="000D42FE" w:rsidRPr="000D42FE">
              <w:rPr>
                <w:rFonts w:ascii="Calibri" w:hAnsi="Calibri"/>
              </w:rPr>
              <w:t>96-101</w:t>
            </w:r>
          </w:p>
        </w:tc>
      </w:tr>
      <w:tr w:rsidR="00860324" w:rsidRPr="00860324" w:rsidTr="000E4EBE">
        <w:tc>
          <w:tcPr>
            <w:tcW w:w="791" w:type="dxa"/>
          </w:tcPr>
          <w:p w:rsidR="00860324" w:rsidRPr="00860324" w:rsidRDefault="00860324" w:rsidP="00DD5694">
            <w:pPr>
              <w:rPr>
                <w:rFonts w:ascii="Calibri" w:hAnsi="Calibri"/>
              </w:rPr>
            </w:pPr>
            <w:r>
              <w:rPr>
                <w:rFonts w:ascii="Calibri" w:hAnsi="Calibri"/>
              </w:rPr>
              <w:t>1</w:t>
            </w:r>
            <w:r w:rsidR="000D42FE">
              <w:rPr>
                <w:rFonts w:ascii="Calibri" w:hAnsi="Calibri"/>
              </w:rPr>
              <w:t>3</w:t>
            </w:r>
          </w:p>
        </w:tc>
        <w:tc>
          <w:tcPr>
            <w:tcW w:w="4496" w:type="dxa"/>
          </w:tcPr>
          <w:p w:rsidR="00860324" w:rsidRPr="00860324" w:rsidRDefault="000D42FE" w:rsidP="00DD5694">
            <w:pPr>
              <w:rPr>
                <w:rFonts w:ascii="Calibri" w:hAnsi="Calibri"/>
              </w:rPr>
            </w:pPr>
            <w:r>
              <w:rPr>
                <w:rFonts w:ascii="Calibri" w:hAnsi="Calibri"/>
              </w:rPr>
              <w:t>Blood Cultures other samples</w:t>
            </w:r>
          </w:p>
        </w:tc>
        <w:tc>
          <w:tcPr>
            <w:tcW w:w="2340" w:type="dxa"/>
          </w:tcPr>
          <w:p w:rsidR="00860324" w:rsidRPr="00860324" w:rsidRDefault="004409B5" w:rsidP="00DD5694">
            <w:pPr>
              <w:rPr>
                <w:rFonts w:ascii="Calibri" w:hAnsi="Calibri"/>
              </w:rPr>
            </w:pPr>
            <w:r>
              <w:rPr>
                <w:rFonts w:ascii="Calibri" w:hAnsi="Calibri"/>
              </w:rPr>
              <w:t xml:space="preserve">Pages </w:t>
            </w:r>
            <w:r w:rsidR="000D42FE">
              <w:rPr>
                <w:rFonts w:ascii="Calibri" w:hAnsi="Calibri"/>
              </w:rPr>
              <w:t>102-109</w:t>
            </w:r>
          </w:p>
        </w:tc>
      </w:tr>
      <w:tr w:rsidR="00860324" w:rsidRPr="00860324" w:rsidTr="000E4EBE">
        <w:trPr>
          <w:trHeight w:val="899"/>
        </w:trPr>
        <w:tc>
          <w:tcPr>
            <w:tcW w:w="791" w:type="dxa"/>
          </w:tcPr>
          <w:p w:rsidR="00860324" w:rsidRPr="00860324" w:rsidRDefault="00860324" w:rsidP="00DD5694">
            <w:pPr>
              <w:rPr>
                <w:rFonts w:ascii="Calibri" w:hAnsi="Calibri"/>
              </w:rPr>
            </w:pPr>
            <w:r>
              <w:rPr>
                <w:rFonts w:ascii="Calibri" w:hAnsi="Calibri"/>
              </w:rPr>
              <w:t>1</w:t>
            </w:r>
            <w:r w:rsidR="000D42FE">
              <w:rPr>
                <w:rFonts w:ascii="Calibri" w:hAnsi="Calibri"/>
              </w:rPr>
              <w:t>4</w:t>
            </w:r>
          </w:p>
        </w:tc>
        <w:tc>
          <w:tcPr>
            <w:tcW w:w="4496" w:type="dxa"/>
          </w:tcPr>
          <w:p w:rsidR="00860324" w:rsidRPr="00860324" w:rsidRDefault="000D42FE" w:rsidP="000E4EBE">
            <w:pPr>
              <w:rPr>
                <w:rFonts w:ascii="Calibri" w:hAnsi="Calibri"/>
              </w:rPr>
            </w:pPr>
            <w:r>
              <w:rPr>
                <w:rFonts w:ascii="Calibri" w:hAnsi="Calibri"/>
              </w:rPr>
              <w:t xml:space="preserve">Professional/Legal </w:t>
            </w:r>
            <w:r w:rsidR="000E4EBE">
              <w:rPr>
                <w:rFonts w:ascii="Calibri" w:hAnsi="Calibri"/>
              </w:rPr>
              <w:t>I</w:t>
            </w:r>
            <w:r>
              <w:rPr>
                <w:rFonts w:ascii="Calibri" w:hAnsi="Calibri"/>
              </w:rPr>
              <w:t>ssues</w:t>
            </w:r>
          </w:p>
        </w:tc>
        <w:tc>
          <w:tcPr>
            <w:tcW w:w="2340" w:type="dxa"/>
          </w:tcPr>
          <w:p w:rsidR="00860324" w:rsidRPr="00860324" w:rsidRDefault="004409B5" w:rsidP="000E4EBE">
            <w:pPr>
              <w:jc w:val="left"/>
              <w:rPr>
                <w:rFonts w:ascii="Calibri" w:hAnsi="Calibri"/>
              </w:rPr>
            </w:pPr>
            <w:r>
              <w:rPr>
                <w:rFonts w:ascii="Calibri" w:hAnsi="Calibri"/>
              </w:rPr>
              <w:t>DVD</w:t>
            </w:r>
            <w:r w:rsidR="000E4EBE">
              <w:rPr>
                <w:rFonts w:ascii="Calibri" w:hAnsi="Calibri"/>
              </w:rPr>
              <w:t xml:space="preserve"> </w:t>
            </w:r>
            <w:r>
              <w:rPr>
                <w:rFonts w:ascii="Calibri" w:hAnsi="Calibri"/>
              </w:rPr>
              <w:t>-</w:t>
            </w:r>
            <w:r w:rsidR="000E4EBE">
              <w:rPr>
                <w:rFonts w:ascii="Calibri" w:hAnsi="Calibri"/>
              </w:rPr>
              <w:t xml:space="preserve"> </w:t>
            </w:r>
            <w:r w:rsidR="001465A6">
              <w:rPr>
                <w:rFonts w:ascii="Calibri" w:hAnsi="Calibri"/>
              </w:rPr>
              <w:t>Avoiding Phlebotomy Related Lawsuits</w:t>
            </w:r>
          </w:p>
        </w:tc>
      </w:tr>
      <w:tr w:rsidR="00860324" w:rsidRPr="00860324" w:rsidTr="000E4EBE">
        <w:tc>
          <w:tcPr>
            <w:tcW w:w="791" w:type="dxa"/>
          </w:tcPr>
          <w:p w:rsidR="00860324" w:rsidRPr="00860324" w:rsidRDefault="000D42FE" w:rsidP="00DD5694">
            <w:pPr>
              <w:rPr>
                <w:rFonts w:ascii="Calibri" w:hAnsi="Calibri"/>
              </w:rPr>
            </w:pPr>
            <w:r>
              <w:rPr>
                <w:rFonts w:ascii="Calibri" w:hAnsi="Calibri"/>
              </w:rPr>
              <w:t>15</w:t>
            </w:r>
          </w:p>
        </w:tc>
        <w:tc>
          <w:tcPr>
            <w:tcW w:w="4496" w:type="dxa"/>
          </w:tcPr>
          <w:p w:rsidR="00860324" w:rsidRPr="00860324" w:rsidRDefault="000D42FE" w:rsidP="00DD5694">
            <w:pPr>
              <w:rPr>
                <w:rFonts w:ascii="Calibri" w:hAnsi="Calibri"/>
              </w:rPr>
            </w:pPr>
            <w:r>
              <w:rPr>
                <w:rFonts w:ascii="Calibri" w:hAnsi="Calibri"/>
              </w:rPr>
              <w:t>Review</w:t>
            </w:r>
          </w:p>
        </w:tc>
        <w:tc>
          <w:tcPr>
            <w:tcW w:w="2340" w:type="dxa"/>
          </w:tcPr>
          <w:p w:rsidR="00860324" w:rsidRPr="00860324" w:rsidRDefault="000D42FE" w:rsidP="00DD5694">
            <w:pPr>
              <w:rPr>
                <w:rFonts w:ascii="Calibri" w:hAnsi="Calibri"/>
              </w:rPr>
            </w:pPr>
            <w:r>
              <w:rPr>
                <w:rFonts w:ascii="Calibri" w:hAnsi="Calibri"/>
              </w:rPr>
              <w:t>Final Exam</w:t>
            </w:r>
          </w:p>
        </w:tc>
      </w:tr>
    </w:tbl>
    <w:p w:rsidR="00DF131B" w:rsidRDefault="00C4449A" w:rsidP="002D0117">
      <w:pPr>
        <w:pStyle w:val="Heading3"/>
        <w:spacing w:before="240" w:after="120"/>
        <w:rPr>
          <w:rFonts w:ascii="Calibri" w:hAnsi="Calibri"/>
        </w:rPr>
      </w:pPr>
      <w:r>
        <w:rPr>
          <w:rFonts w:ascii="Calibri" w:hAnsi="Calibri"/>
        </w:rPr>
        <w:t>COURSE ASSIGNMENTS OR REQUIREMENTS</w:t>
      </w:r>
    </w:p>
    <w:p w:rsidR="00F67985" w:rsidRPr="00227F8F" w:rsidRDefault="00227F8F" w:rsidP="00AA4ADB">
      <w:pPr>
        <w:spacing w:before="120" w:after="120" w:line="360" w:lineRule="auto"/>
        <w:rPr>
          <w:bCs/>
          <w:szCs w:val="24"/>
        </w:rPr>
      </w:pPr>
      <w:r>
        <w:rPr>
          <w:bCs/>
          <w:szCs w:val="24"/>
        </w:rPr>
        <w:t>The design of this co</w:t>
      </w:r>
      <w:r w:rsidR="00280A1D">
        <w:rPr>
          <w:bCs/>
          <w:szCs w:val="24"/>
        </w:rPr>
        <w:t xml:space="preserve">urse is a supplemental skill to introduce </w:t>
      </w:r>
      <w:r>
        <w:rPr>
          <w:bCs/>
          <w:szCs w:val="24"/>
        </w:rPr>
        <w:t>to</w:t>
      </w:r>
      <w:r w:rsidR="00280A1D">
        <w:rPr>
          <w:bCs/>
          <w:szCs w:val="24"/>
        </w:rPr>
        <w:t xml:space="preserve"> students to</w:t>
      </w:r>
      <w:r>
        <w:rPr>
          <w:bCs/>
          <w:szCs w:val="24"/>
        </w:rPr>
        <w:t xml:space="preserve"> phlebotomy equipment and techniques</w:t>
      </w:r>
      <w:r w:rsidR="00280A1D">
        <w:rPr>
          <w:bCs/>
          <w:szCs w:val="24"/>
        </w:rPr>
        <w:t>.  The course is two 50 minute lectures per week. The first class period will be devoted to lecture, quizzes and exam functions. The second weekly class period will be devoted to hands on experiences with models, manipulatives and simulations to complete the phlebotomy experience.</w:t>
      </w:r>
      <w:r>
        <w:rPr>
          <w:bCs/>
          <w:szCs w:val="24"/>
        </w:rPr>
        <w:t xml:space="preserve"> </w:t>
      </w:r>
    </w:p>
    <w:p w:rsidR="00C4449A" w:rsidRDefault="00C4449A" w:rsidP="00DE1F7A">
      <w:pPr>
        <w:pStyle w:val="Heading3"/>
        <w:spacing w:before="240"/>
        <w:rPr>
          <w:rFonts w:ascii="Calibri" w:hAnsi="Calibri"/>
        </w:rPr>
      </w:pPr>
      <w:r>
        <w:rPr>
          <w:rFonts w:ascii="Calibri" w:hAnsi="Calibri"/>
        </w:rPr>
        <w:t>METHODS OF EVALUATION</w:t>
      </w:r>
    </w:p>
    <w:p w:rsidR="003A297A" w:rsidRDefault="003A297A" w:rsidP="00AA4ADB">
      <w:pPr>
        <w:spacing w:before="120" w:after="120" w:line="360" w:lineRule="auto"/>
      </w:pPr>
      <w:r w:rsidRPr="003A297A">
        <w:t xml:space="preserve">The course content will be delivered through </w:t>
      </w:r>
      <w:r>
        <w:t>lecture modules supported by manipulatives and simulations.</w:t>
      </w:r>
      <w:r w:rsidRPr="003A297A">
        <w:t xml:space="preserve"> There will be an exam at the c</w:t>
      </w:r>
      <w:r>
        <w:t>ompletio</w:t>
      </w:r>
      <w:r w:rsidR="0041735E">
        <w:t>n of each module and final exam</w:t>
      </w:r>
      <w:r>
        <w:t xml:space="preserve"> that is </w:t>
      </w:r>
      <w:r w:rsidRPr="003A297A">
        <w:t>cumulative.</w:t>
      </w:r>
    </w:p>
    <w:p w:rsidR="00897975" w:rsidRDefault="00897975">
      <w:pPr>
        <w:rPr>
          <w:rStyle w:val="Strong"/>
          <w:rFonts w:ascii="Cambria" w:eastAsiaTheme="majorEastAsia" w:hAnsi="Cambria" w:cstheme="majorBidi"/>
          <w:bCs w:val="0"/>
          <w:spacing w:val="4"/>
          <w:szCs w:val="24"/>
        </w:rPr>
      </w:pPr>
      <w:r>
        <w:rPr>
          <w:rStyle w:val="Strong"/>
          <w:rFonts w:ascii="Cambria" w:hAnsi="Cambria"/>
          <w:b w:val="0"/>
          <w:bCs w:val="0"/>
        </w:rPr>
        <w:br w:type="page"/>
      </w:r>
    </w:p>
    <w:p w:rsidR="00897975" w:rsidRPr="00AA4ADB" w:rsidRDefault="00897975" w:rsidP="00897975">
      <w:pPr>
        <w:pStyle w:val="Heading3"/>
        <w:ind w:left="288"/>
        <w:rPr>
          <w:rStyle w:val="Strong"/>
          <w:rFonts w:ascii="Cambria" w:hAnsi="Cambria"/>
          <w:b/>
          <w:bCs w:val="0"/>
        </w:rPr>
      </w:pPr>
      <w:r>
        <w:rPr>
          <w:rStyle w:val="Strong"/>
          <w:rFonts w:ascii="Cambria" w:hAnsi="Cambria"/>
          <w:b/>
          <w:bCs w:val="0"/>
        </w:rPr>
        <w:t>Grade</w:t>
      </w:r>
      <w:r w:rsidRPr="00AA4ADB">
        <w:rPr>
          <w:rStyle w:val="Strong"/>
          <w:rFonts w:ascii="Cambria" w:hAnsi="Cambria"/>
          <w:b/>
          <w:bCs w:val="0"/>
        </w:rPr>
        <w:t xml:space="preserve"> </w:t>
      </w:r>
      <w:r>
        <w:rPr>
          <w:rStyle w:val="Strong"/>
          <w:rFonts w:ascii="Cambria" w:hAnsi="Cambria"/>
          <w:b/>
          <w:bCs w:val="0"/>
        </w:rPr>
        <w:t>Weighting</w:t>
      </w:r>
    </w:p>
    <w:tbl>
      <w:tblPr>
        <w:tblStyle w:val="TableGrid"/>
        <w:tblW w:w="0" w:type="auto"/>
        <w:tblInd w:w="288" w:type="dxa"/>
        <w:tblLook w:val="04A0" w:firstRow="1" w:lastRow="0" w:firstColumn="1" w:lastColumn="0" w:noHBand="0" w:noVBand="1"/>
        <w:tblCaption w:val="Weighted Grades Table"/>
        <w:tblDescription w:val="This is a table of weighted grading for the course"/>
      </w:tblPr>
      <w:tblGrid>
        <w:gridCol w:w="2425"/>
        <w:gridCol w:w="2250"/>
      </w:tblGrid>
      <w:tr w:rsidR="003A297A" w:rsidTr="006B6948">
        <w:trPr>
          <w:tblHeader/>
        </w:trPr>
        <w:tc>
          <w:tcPr>
            <w:tcW w:w="2425" w:type="dxa"/>
          </w:tcPr>
          <w:p w:rsidR="003A297A" w:rsidRPr="006B6948" w:rsidRDefault="003A297A" w:rsidP="006B6948">
            <w:pPr>
              <w:rPr>
                <w:rStyle w:val="Strong"/>
              </w:rPr>
            </w:pPr>
            <w:r w:rsidRPr="006B6948">
              <w:rPr>
                <w:rStyle w:val="Strong"/>
              </w:rPr>
              <w:t>Exams</w:t>
            </w:r>
          </w:p>
        </w:tc>
        <w:tc>
          <w:tcPr>
            <w:tcW w:w="2250" w:type="dxa"/>
          </w:tcPr>
          <w:p w:rsidR="003A297A" w:rsidRPr="006B6948" w:rsidRDefault="003A297A" w:rsidP="006B6948">
            <w:pPr>
              <w:rPr>
                <w:rStyle w:val="Strong"/>
              </w:rPr>
            </w:pPr>
            <w:r w:rsidRPr="006B6948">
              <w:rPr>
                <w:rStyle w:val="Strong"/>
              </w:rPr>
              <w:t>Percentages</w:t>
            </w:r>
          </w:p>
        </w:tc>
      </w:tr>
      <w:tr w:rsidR="003A297A" w:rsidTr="006B6948">
        <w:tc>
          <w:tcPr>
            <w:tcW w:w="2425" w:type="dxa"/>
          </w:tcPr>
          <w:p w:rsidR="003A297A" w:rsidRDefault="003A297A" w:rsidP="003A297A">
            <w:r>
              <w:t xml:space="preserve">Quizzes </w:t>
            </w:r>
          </w:p>
        </w:tc>
        <w:tc>
          <w:tcPr>
            <w:tcW w:w="2250" w:type="dxa"/>
          </w:tcPr>
          <w:p w:rsidR="003A297A" w:rsidRDefault="00C84064" w:rsidP="003A297A">
            <w:r>
              <w:t>10%</w:t>
            </w:r>
          </w:p>
        </w:tc>
      </w:tr>
      <w:tr w:rsidR="003A297A" w:rsidTr="006B6948">
        <w:tc>
          <w:tcPr>
            <w:tcW w:w="2425" w:type="dxa"/>
          </w:tcPr>
          <w:p w:rsidR="003A297A" w:rsidRDefault="003A297A" w:rsidP="003A297A">
            <w:r>
              <w:t>Unit Exams</w:t>
            </w:r>
          </w:p>
        </w:tc>
        <w:tc>
          <w:tcPr>
            <w:tcW w:w="2250" w:type="dxa"/>
          </w:tcPr>
          <w:p w:rsidR="003A297A" w:rsidRDefault="00C84064" w:rsidP="003A297A">
            <w:r>
              <w:t>40%</w:t>
            </w:r>
          </w:p>
        </w:tc>
      </w:tr>
      <w:tr w:rsidR="003A297A" w:rsidTr="006B6948">
        <w:tc>
          <w:tcPr>
            <w:tcW w:w="2425" w:type="dxa"/>
          </w:tcPr>
          <w:p w:rsidR="003A297A" w:rsidRDefault="003A297A" w:rsidP="003A297A">
            <w:r>
              <w:t>Skills Evaluations</w:t>
            </w:r>
          </w:p>
        </w:tc>
        <w:tc>
          <w:tcPr>
            <w:tcW w:w="2250" w:type="dxa"/>
          </w:tcPr>
          <w:p w:rsidR="003A297A" w:rsidRDefault="00C84064" w:rsidP="003A297A">
            <w:r>
              <w:t>30%</w:t>
            </w:r>
          </w:p>
        </w:tc>
      </w:tr>
      <w:tr w:rsidR="003A297A" w:rsidTr="006B6948">
        <w:tc>
          <w:tcPr>
            <w:tcW w:w="2425" w:type="dxa"/>
          </w:tcPr>
          <w:p w:rsidR="003A297A" w:rsidRDefault="003A297A" w:rsidP="003A297A">
            <w:r>
              <w:t>Final</w:t>
            </w:r>
          </w:p>
        </w:tc>
        <w:tc>
          <w:tcPr>
            <w:tcW w:w="2250" w:type="dxa"/>
          </w:tcPr>
          <w:p w:rsidR="003A297A" w:rsidRDefault="003A297A" w:rsidP="003A297A">
            <w:r>
              <w:t>20%</w:t>
            </w:r>
          </w:p>
        </w:tc>
      </w:tr>
    </w:tbl>
    <w:p w:rsidR="00AE79B1" w:rsidRPr="00AA4ADB" w:rsidRDefault="00897975" w:rsidP="00897975">
      <w:pPr>
        <w:pStyle w:val="Heading3"/>
        <w:ind w:left="288"/>
        <w:rPr>
          <w:rStyle w:val="Strong"/>
          <w:rFonts w:ascii="Cambria" w:hAnsi="Cambria"/>
          <w:b/>
          <w:bCs w:val="0"/>
        </w:rPr>
      </w:pPr>
      <w:r>
        <w:rPr>
          <w:rStyle w:val="Strong"/>
          <w:rFonts w:ascii="Cambria" w:hAnsi="Cambria"/>
          <w:b/>
          <w:bCs w:val="0"/>
        </w:rPr>
        <w:t>G</w:t>
      </w:r>
      <w:r w:rsidR="00AE79B1" w:rsidRPr="00AA4ADB">
        <w:rPr>
          <w:rStyle w:val="Strong"/>
          <w:rFonts w:ascii="Cambria" w:hAnsi="Cambria"/>
          <w:b/>
          <w:bCs w:val="0"/>
        </w:rPr>
        <w:t>rading Scale</w:t>
      </w:r>
    </w:p>
    <w:tbl>
      <w:tblPr>
        <w:tblStyle w:val="TableGrid"/>
        <w:tblW w:w="0" w:type="auto"/>
        <w:tblInd w:w="288" w:type="dxa"/>
        <w:tblLook w:val="04A0" w:firstRow="1" w:lastRow="0" w:firstColumn="1" w:lastColumn="0" w:noHBand="0" w:noVBand="1"/>
        <w:tblCaption w:val="Grading Scale"/>
        <w:tblDescription w:val="Grading scale of letter grades with corresponding numerical ranges"/>
      </w:tblPr>
      <w:tblGrid>
        <w:gridCol w:w="1973"/>
        <w:gridCol w:w="1973"/>
      </w:tblGrid>
      <w:tr w:rsidR="00DD1B1D" w:rsidTr="001E0122">
        <w:trPr>
          <w:trHeight w:val="288"/>
          <w:tblHeader/>
        </w:trPr>
        <w:tc>
          <w:tcPr>
            <w:tcW w:w="1973" w:type="dxa"/>
          </w:tcPr>
          <w:p w:rsidR="00DD1B1D" w:rsidRPr="00DE1F7A" w:rsidRDefault="00DD1B1D" w:rsidP="00DD1B1D">
            <w:pPr>
              <w:jc w:val="center"/>
              <w:rPr>
                <w:rStyle w:val="Strong"/>
              </w:rPr>
            </w:pPr>
            <w:r w:rsidRPr="00DE1F7A">
              <w:rPr>
                <w:rStyle w:val="Strong"/>
              </w:rPr>
              <w:t>Letter Grade</w:t>
            </w:r>
          </w:p>
        </w:tc>
        <w:tc>
          <w:tcPr>
            <w:tcW w:w="1973" w:type="dxa"/>
          </w:tcPr>
          <w:p w:rsidR="00DD1B1D" w:rsidRPr="00DE1F7A" w:rsidRDefault="00DD1B1D" w:rsidP="00DD1B1D">
            <w:pPr>
              <w:jc w:val="center"/>
              <w:rPr>
                <w:rStyle w:val="Strong"/>
              </w:rPr>
            </w:pPr>
            <w:r w:rsidRPr="00DE1F7A">
              <w:rPr>
                <w:rStyle w:val="Strong"/>
              </w:rPr>
              <w:t>Range</w:t>
            </w:r>
          </w:p>
        </w:tc>
      </w:tr>
      <w:tr w:rsidR="00DD1B1D" w:rsidTr="001E0122">
        <w:trPr>
          <w:trHeight w:val="288"/>
        </w:trPr>
        <w:tc>
          <w:tcPr>
            <w:tcW w:w="1973" w:type="dxa"/>
          </w:tcPr>
          <w:p w:rsidR="00DD1B1D" w:rsidRDefault="00DD1B1D" w:rsidP="00DD1B1D">
            <w:pPr>
              <w:jc w:val="center"/>
            </w:pPr>
            <w:r w:rsidRPr="006B6948">
              <w:rPr>
                <w:rStyle w:val="Strong"/>
              </w:rPr>
              <w:t>A</w:t>
            </w:r>
          </w:p>
        </w:tc>
        <w:tc>
          <w:tcPr>
            <w:tcW w:w="1973" w:type="dxa"/>
          </w:tcPr>
          <w:p w:rsidR="00DD1B1D" w:rsidRDefault="00DD1B1D" w:rsidP="00DD1B1D">
            <w:pPr>
              <w:jc w:val="center"/>
            </w:pPr>
            <w:r>
              <w:t>93-100</w:t>
            </w:r>
          </w:p>
        </w:tc>
      </w:tr>
      <w:tr w:rsidR="00DD1B1D" w:rsidTr="001E0122">
        <w:trPr>
          <w:trHeight w:val="144"/>
        </w:trPr>
        <w:tc>
          <w:tcPr>
            <w:tcW w:w="1973" w:type="dxa"/>
          </w:tcPr>
          <w:p w:rsidR="00DD1B1D" w:rsidRDefault="00DD1B1D" w:rsidP="00DD1B1D">
            <w:pPr>
              <w:jc w:val="center"/>
            </w:pPr>
            <w:r w:rsidRPr="006B6948">
              <w:rPr>
                <w:rStyle w:val="Strong"/>
              </w:rPr>
              <w:t>B</w:t>
            </w:r>
          </w:p>
        </w:tc>
        <w:tc>
          <w:tcPr>
            <w:tcW w:w="1973" w:type="dxa"/>
          </w:tcPr>
          <w:p w:rsidR="00DD1B1D" w:rsidRPr="00D000C7" w:rsidRDefault="00DD1B1D" w:rsidP="00D000C7">
            <w:pPr>
              <w:jc w:val="center"/>
              <w:rPr>
                <w:b/>
              </w:rPr>
            </w:pPr>
            <w:r w:rsidRPr="00D000C7">
              <w:rPr>
                <w:rStyle w:val="Strong"/>
                <w:b w:val="0"/>
              </w:rPr>
              <w:t>85-92</w:t>
            </w:r>
          </w:p>
        </w:tc>
      </w:tr>
      <w:tr w:rsidR="00DD1B1D" w:rsidTr="001E0122">
        <w:trPr>
          <w:trHeight w:val="144"/>
        </w:trPr>
        <w:tc>
          <w:tcPr>
            <w:tcW w:w="1973" w:type="dxa"/>
          </w:tcPr>
          <w:p w:rsidR="00DD1B1D" w:rsidRDefault="00DD1B1D" w:rsidP="00DD1B1D">
            <w:pPr>
              <w:jc w:val="center"/>
            </w:pPr>
            <w:r w:rsidRPr="006B6948">
              <w:rPr>
                <w:rStyle w:val="Strong"/>
              </w:rPr>
              <w:t>C</w:t>
            </w:r>
          </w:p>
        </w:tc>
        <w:tc>
          <w:tcPr>
            <w:tcW w:w="1973" w:type="dxa"/>
          </w:tcPr>
          <w:p w:rsidR="00DD1B1D" w:rsidRDefault="00DD1B1D" w:rsidP="00D000C7">
            <w:pPr>
              <w:jc w:val="center"/>
            </w:pPr>
            <w:r w:rsidRPr="00D000C7">
              <w:rPr>
                <w:rStyle w:val="Strong"/>
                <w:b w:val="0"/>
              </w:rPr>
              <w:t>76-84</w:t>
            </w:r>
          </w:p>
        </w:tc>
      </w:tr>
      <w:tr w:rsidR="00DD1B1D" w:rsidTr="001E0122">
        <w:trPr>
          <w:trHeight w:val="144"/>
        </w:trPr>
        <w:tc>
          <w:tcPr>
            <w:tcW w:w="1973" w:type="dxa"/>
          </w:tcPr>
          <w:p w:rsidR="00DD1B1D" w:rsidRDefault="00DD1B1D" w:rsidP="00DD1B1D">
            <w:pPr>
              <w:jc w:val="center"/>
            </w:pPr>
            <w:r w:rsidRPr="006B6948">
              <w:rPr>
                <w:rStyle w:val="Strong"/>
              </w:rPr>
              <w:t>D</w:t>
            </w:r>
          </w:p>
        </w:tc>
        <w:tc>
          <w:tcPr>
            <w:tcW w:w="1973" w:type="dxa"/>
          </w:tcPr>
          <w:p w:rsidR="00DD1B1D" w:rsidRDefault="00DD1B1D" w:rsidP="00D000C7">
            <w:pPr>
              <w:jc w:val="center"/>
            </w:pPr>
            <w:r w:rsidRPr="00D000C7">
              <w:rPr>
                <w:rStyle w:val="Strong"/>
                <w:b w:val="0"/>
              </w:rPr>
              <w:t>70-75</w:t>
            </w:r>
          </w:p>
        </w:tc>
      </w:tr>
      <w:tr w:rsidR="00DD1B1D" w:rsidTr="001E0122">
        <w:trPr>
          <w:trHeight w:val="144"/>
        </w:trPr>
        <w:tc>
          <w:tcPr>
            <w:tcW w:w="1973" w:type="dxa"/>
          </w:tcPr>
          <w:p w:rsidR="00DD1B1D" w:rsidRDefault="00DD1B1D" w:rsidP="00DD1B1D">
            <w:pPr>
              <w:jc w:val="center"/>
            </w:pPr>
            <w:r w:rsidRPr="006B6948">
              <w:rPr>
                <w:rStyle w:val="Strong"/>
              </w:rPr>
              <w:t>F</w:t>
            </w:r>
          </w:p>
        </w:tc>
        <w:tc>
          <w:tcPr>
            <w:tcW w:w="1973" w:type="dxa"/>
          </w:tcPr>
          <w:p w:rsidR="00DD1B1D" w:rsidRDefault="00DD1B1D" w:rsidP="00D000C7">
            <w:pPr>
              <w:jc w:val="center"/>
            </w:pPr>
            <w:r w:rsidRPr="00D000C7">
              <w:rPr>
                <w:rStyle w:val="Strong"/>
                <w:b w:val="0"/>
              </w:rPr>
              <w:t>Below 69</w:t>
            </w:r>
          </w:p>
        </w:tc>
      </w:tr>
    </w:tbl>
    <w:p w:rsidR="00DE1F7A" w:rsidRDefault="00224266" w:rsidP="00AA4ADB">
      <w:pPr>
        <w:pStyle w:val="Heading3"/>
        <w:spacing w:before="240" w:line="360" w:lineRule="auto"/>
      </w:pPr>
      <w:r w:rsidRPr="00DE1F7A">
        <w:t>IMPORTANT COURSE DATES</w:t>
      </w:r>
    </w:p>
    <w:p w:rsidR="00BC47C7" w:rsidRPr="00DE1F7A" w:rsidRDefault="00EE6B33" w:rsidP="00AA4ADB">
      <w:pPr>
        <w:spacing w:before="120" w:after="120" w:line="360" w:lineRule="auto"/>
        <w:rPr>
          <w:rStyle w:val="Strong"/>
        </w:rPr>
      </w:pPr>
      <w:r w:rsidRPr="00DE1F7A">
        <w:rPr>
          <w:rStyle w:val="Strong"/>
        </w:rPr>
        <w:t>[Hyperlink to calendar in D2L</w:t>
      </w:r>
      <w:r w:rsidR="00DE1F7A" w:rsidRPr="00DE1F7A">
        <w:rPr>
          <w:rStyle w:val="Strong"/>
        </w:rPr>
        <w:sym w:font="Wingdings" w:char="F0E0"/>
      </w:r>
      <w:r w:rsidRPr="00DE1F7A">
        <w:rPr>
          <w:rStyle w:val="Strong"/>
        </w:rPr>
        <w:t>Important Course Information]</w:t>
      </w:r>
    </w:p>
    <w:p w:rsidR="00224266" w:rsidRPr="00DE1F7A" w:rsidRDefault="00224266" w:rsidP="00AA4ADB">
      <w:pPr>
        <w:pStyle w:val="Heading3"/>
        <w:spacing w:after="240"/>
      </w:pPr>
      <w:r w:rsidRPr="00DE1F7A">
        <w:t>FDTC COLLEGE WIDE POLICIES</w:t>
      </w:r>
    </w:p>
    <w:p w:rsidR="00224266" w:rsidRPr="00AA4ADB" w:rsidRDefault="00224266" w:rsidP="00AA4ADB">
      <w:pPr>
        <w:pStyle w:val="Heading4"/>
        <w:rPr>
          <w:rStyle w:val="Strong"/>
          <w:rFonts w:ascii="Cambria" w:hAnsi="Cambria"/>
          <w:b/>
          <w:bCs w:val="0"/>
        </w:rPr>
      </w:pPr>
      <w:r w:rsidRPr="00AA4ADB">
        <w:rPr>
          <w:rStyle w:val="Strong"/>
          <w:rFonts w:ascii="Cambria" w:hAnsi="Cambria"/>
          <w:b/>
          <w:bCs w:val="0"/>
        </w:rPr>
        <w:t>Academic Misconduct—Commit to Integrity:</w:t>
      </w:r>
    </w:p>
    <w:p w:rsidR="00224266" w:rsidRPr="00DE1F7A" w:rsidRDefault="00224266" w:rsidP="00AA4ADB">
      <w:pPr>
        <w:spacing w:before="120" w:after="120" w:line="360" w:lineRule="auto"/>
      </w:pPr>
      <w:r w:rsidRPr="00DE1F7A">
        <w:t>The Florence-Darlington County Commission for Technical Education, administrators, faculty and staff, believe that academic honesty and integrity are fundamental to the mission of higher education.  FDTC has a responsibility to promote academic honesty and integrity for all</w:t>
      </w:r>
      <w:r w:rsidR="000E4EBE">
        <w:t xml:space="preserve"> endeavors within the College. </w:t>
      </w:r>
      <w:r w:rsidRPr="00DE1F7A">
        <w:t xml:space="preserve">The </w:t>
      </w:r>
      <w:hyperlink r:id="rId9" w:history="1">
        <w:r w:rsidRPr="00DE1F7A">
          <w:rPr>
            <w:rStyle w:val="Hyperlink"/>
          </w:rPr>
          <w:t>Student Code of Conduct and Grievance Procedures</w:t>
        </w:r>
      </w:hyperlink>
      <w:r w:rsidRPr="00DE1F7A">
        <w:t xml:space="preserve"> are in place to deal effectively with instances of academic misconduct. </w:t>
      </w:r>
    </w:p>
    <w:p w:rsidR="00224266" w:rsidRPr="00DE1F7A" w:rsidRDefault="00224266" w:rsidP="00AA4ADB">
      <w:pPr>
        <w:spacing w:before="120" w:after="120" w:line="360" w:lineRule="auto"/>
      </w:pPr>
      <w:r w:rsidRPr="00DE1F7A">
        <w:t xml:space="preserve">Examples of academic misconduct include, but are not limited to: cheating on tests, plagiarism, collusion, and falsification of information will be subject to disciplinary action. </w:t>
      </w:r>
      <w:hyperlink r:id="rId10" w:history="1">
        <w:r w:rsidRPr="00DE1F7A">
          <w:rPr>
            <w:rStyle w:val="Hyperlink"/>
          </w:rPr>
          <w:t>Student Code of Conduct</w:t>
        </w:r>
      </w:hyperlink>
      <w:r w:rsidRPr="00DE1F7A">
        <w:t xml:space="preserve"> (pages 5 &amp; 6)</w:t>
      </w:r>
      <w:r w:rsidR="00897975">
        <w:t>.</w:t>
      </w:r>
    </w:p>
    <w:p w:rsidR="00224266" w:rsidRPr="00AA4ADB" w:rsidRDefault="00224266" w:rsidP="00AA4ADB">
      <w:pPr>
        <w:pStyle w:val="Heading4"/>
        <w:rPr>
          <w:rStyle w:val="Strong"/>
          <w:rFonts w:ascii="Cambria" w:hAnsi="Cambria"/>
          <w:b/>
          <w:bCs w:val="0"/>
        </w:rPr>
      </w:pPr>
      <w:r w:rsidRPr="00AA4ADB">
        <w:rPr>
          <w:rStyle w:val="Strong"/>
          <w:rFonts w:ascii="Cambria" w:hAnsi="Cambria"/>
          <w:b/>
          <w:bCs w:val="0"/>
        </w:rPr>
        <w:t xml:space="preserve">Actions which Endanger Students and the College Community: </w:t>
      </w:r>
      <w:r w:rsidRPr="00AA4ADB">
        <w:rPr>
          <w:rStyle w:val="Strong"/>
          <w:rFonts w:ascii="Cambria" w:hAnsi="Cambria"/>
          <w:b/>
          <w:bCs w:val="0"/>
        </w:rPr>
        <w:tab/>
      </w:r>
    </w:p>
    <w:p w:rsidR="00224266" w:rsidRPr="00224266" w:rsidRDefault="00224266" w:rsidP="00AA4ADB">
      <w:pPr>
        <w:spacing w:before="120" w:after="120" w:line="360" w:lineRule="auto"/>
        <w:rPr>
          <w:bCs/>
          <w:szCs w:val="24"/>
        </w:rPr>
      </w:pPr>
      <w:r w:rsidRPr="00224266">
        <w:rPr>
          <w:bCs/>
          <w:szCs w:val="24"/>
        </w:rPr>
        <w:t xml:space="preserve">No student, acting alone or with others, shall obstruct or disrupt any teaching, administrative, disciplinary, public service, research, or other activity authorized or conducted on the campus of the College or any other location where such activity is conducted or sponsored by the College. This disruption does not necessarily have to involve violence or force for the student to face disciplinary actions. In addition to administrative action, any person who violates the law will be turned over to the appropriate authorities. </w:t>
      </w:r>
      <w:hyperlink r:id="rId11" w:history="1">
        <w:r w:rsidRPr="00224266">
          <w:rPr>
            <w:rStyle w:val="Hyperlink"/>
            <w:bCs/>
            <w:szCs w:val="24"/>
          </w:rPr>
          <w:t>Student Code of Conduct and Grievance Procedures</w:t>
        </w:r>
      </w:hyperlink>
      <w:r w:rsidRPr="00224266">
        <w:rPr>
          <w:bCs/>
          <w:szCs w:val="24"/>
        </w:rPr>
        <w:t xml:space="preserve"> (pages 6 &amp;</w:t>
      </w:r>
      <w:r w:rsidR="000E4EBE">
        <w:rPr>
          <w:bCs/>
          <w:szCs w:val="24"/>
        </w:rPr>
        <w:t xml:space="preserve"> </w:t>
      </w:r>
      <w:r w:rsidRPr="00224266">
        <w:rPr>
          <w:bCs/>
          <w:szCs w:val="24"/>
        </w:rPr>
        <w:t>7)</w:t>
      </w:r>
    </w:p>
    <w:p w:rsidR="00224266" w:rsidRPr="00AA4ADB" w:rsidRDefault="00224266" w:rsidP="00AA4ADB">
      <w:pPr>
        <w:pStyle w:val="Heading4"/>
      </w:pPr>
      <w:r w:rsidRPr="00AA4ADB">
        <w:t>Attendance: FDTC Policy</w:t>
      </w:r>
    </w:p>
    <w:p w:rsidR="001E0122" w:rsidRDefault="00224266" w:rsidP="00AA4ADB">
      <w:pPr>
        <w:spacing w:before="120" w:after="120" w:line="360" w:lineRule="auto"/>
        <w:rPr>
          <w:rStyle w:val="Strong"/>
        </w:rPr>
      </w:pPr>
      <w:r w:rsidRPr="00224266">
        <w:t xml:space="preserve">It is the responsibility of the student to attend all scheduled classes in each of the courses that he/she is enrolled. A student is considered in attendance until he/ she withdraws or is absent more than 10% of the total hours that a course usually meets in a semester. When a student is absent more than 10% of the class time, the student may be administratively withdrawn from class and is subject to a failing grade. Exceptions to this policy can be made only by the appropriate Associate Vice President. </w:t>
      </w:r>
      <w:r w:rsidRPr="00DE1F7A">
        <w:rPr>
          <w:rStyle w:val="Emphasis"/>
          <w:b/>
        </w:rPr>
        <w:t>Please refer to Important Course Information folder located in your D2L course Shell</w:t>
      </w:r>
      <w:r w:rsidR="00A711BD" w:rsidRPr="00DE1F7A">
        <w:rPr>
          <w:rStyle w:val="Emphasis"/>
          <w:b/>
        </w:rPr>
        <w:t xml:space="preserve"> for instructor specific requirements</w:t>
      </w:r>
      <w:r w:rsidRPr="00DE1F7A">
        <w:rPr>
          <w:rStyle w:val="Emphasis"/>
          <w:b/>
        </w:rPr>
        <w:t>.</w:t>
      </w:r>
      <w:r w:rsidRPr="00DE1F7A">
        <w:rPr>
          <w:rStyle w:val="Emphasis"/>
        </w:rPr>
        <w:t xml:space="preserve"> </w:t>
      </w:r>
      <w:r w:rsidRPr="00DE1F7A">
        <w:rPr>
          <w:rStyle w:val="Strong"/>
          <w:b w:val="0"/>
        </w:rPr>
        <w:t xml:space="preserve"> </w:t>
      </w:r>
      <w:r w:rsidRPr="00DE1F7A">
        <w:rPr>
          <w:rStyle w:val="Strong"/>
        </w:rPr>
        <w:t>(Hyperlink to D2L)</w:t>
      </w:r>
    </w:p>
    <w:p w:rsidR="001E0122" w:rsidRPr="00AA4ADB" w:rsidRDefault="00224266" w:rsidP="00AA4ADB">
      <w:pPr>
        <w:pStyle w:val="Heading4"/>
        <w:rPr>
          <w:rStyle w:val="Strong"/>
          <w:rFonts w:ascii="Cambria" w:hAnsi="Cambria"/>
          <w:b/>
          <w:bCs w:val="0"/>
        </w:rPr>
      </w:pPr>
      <w:r w:rsidRPr="00AA4ADB">
        <w:t>Withdrawal Policy</w:t>
      </w:r>
      <w:r w:rsidRPr="00AA4ADB">
        <w:rPr>
          <w:rStyle w:val="Strong"/>
          <w:rFonts w:ascii="Cambria" w:hAnsi="Cambria"/>
          <w:b/>
          <w:bCs w:val="0"/>
        </w:rPr>
        <w:t xml:space="preserve"> </w:t>
      </w:r>
    </w:p>
    <w:p w:rsidR="001E0122" w:rsidRDefault="00224266" w:rsidP="00AA4ADB">
      <w:pPr>
        <w:spacing w:before="120" w:after="120" w:line="360" w:lineRule="auto"/>
        <w:rPr>
          <w:rStyle w:val="Strong"/>
        </w:rPr>
      </w:pPr>
      <w:r w:rsidRPr="00DE1F7A">
        <w:t>Students may officially drop from a class no later than the last designated instructional day of the term with a passing grade. {15-week term</w:t>
      </w:r>
      <w:r w:rsidR="000E4EBE">
        <w:t xml:space="preserve"> -</w:t>
      </w:r>
      <w:r w:rsidRPr="00DE1F7A">
        <w:t xml:space="preserve"> 46th day; 10-week term</w:t>
      </w:r>
      <w:r w:rsidR="000E4EBE">
        <w:t xml:space="preserve"> </w:t>
      </w:r>
      <w:r w:rsidRPr="00DE1F7A">
        <w:t>-</w:t>
      </w:r>
      <w:r w:rsidR="000E4EBE">
        <w:t xml:space="preserve"> </w:t>
      </w:r>
      <w:r w:rsidRPr="00DE1F7A">
        <w:t>32nd day; 8-week session</w:t>
      </w:r>
      <w:r w:rsidR="000E4EBE">
        <w:t xml:space="preserve"> -26th day; 5-</w:t>
      </w:r>
      <w:r w:rsidRPr="00DE1F7A">
        <w:t>week session</w:t>
      </w:r>
      <w:r w:rsidR="000E4EBE">
        <w:t xml:space="preserve"> </w:t>
      </w:r>
      <w:r w:rsidRPr="00DE1F7A">
        <w:t>-</w:t>
      </w:r>
      <w:r w:rsidR="000E4EBE">
        <w:t xml:space="preserve"> </w:t>
      </w:r>
      <w:r w:rsidRPr="00DE1F7A">
        <w:t>16th day</w:t>
      </w:r>
      <w:r w:rsidR="00F466AE" w:rsidRPr="00DE1F7A">
        <w:t>; 3-week session</w:t>
      </w:r>
      <w:r w:rsidR="000E4EBE">
        <w:t xml:space="preserve"> </w:t>
      </w:r>
      <w:r w:rsidR="00F466AE" w:rsidRPr="00DE1F7A">
        <w:t>-</w:t>
      </w:r>
      <w:r w:rsidR="000E4EBE">
        <w:t xml:space="preserve"> </w:t>
      </w:r>
      <w:r w:rsidR="00F466AE" w:rsidRPr="00DE1F7A">
        <w:t xml:space="preserve">12th day]. </w:t>
      </w:r>
      <w:r w:rsidRPr="00DE1F7A">
        <w:t>No quality points are earned and it is not included as semester hours taken in computing the grade point average.</w:t>
      </w:r>
      <w:r w:rsidRPr="00224266">
        <w:rPr>
          <w:rFonts w:ascii="Calibri" w:hAnsi="Calibri"/>
          <w:bCs/>
        </w:rPr>
        <w:t xml:space="preserve">  </w:t>
      </w:r>
      <w:r w:rsidR="00DE1F7A" w:rsidRPr="00DE1F7A">
        <w:rPr>
          <w:rStyle w:val="Emphasis"/>
        </w:rPr>
        <w:t>Please refer to Important Course Information folder located in your D2L course Shell for instructor specific requirements.</w:t>
      </w:r>
      <w:r w:rsidR="00DE1F7A" w:rsidRPr="00DE1F7A">
        <w:rPr>
          <w:rStyle w:val="Strong"/>
        </w:rPr>
        <w:t xml:space="preserve">  (Hyperlink to D2L)</w:t>
      </w:r>
    </w:p>
    <w:p w:rsidR="001E0122" w:rsidRPr="00AA4ADB" w:rsidRDefault="00224266" w:rsidP="00AA4ADB">
      <w:pPr>
        <w:pStyle w:val="Heading4"/>
        <w:rPr>
          <w:rStyle w:val="Strong"/>
          <w:rFonts w:ascii="Cambria" w:hAnsi="Cambria"/>
          <w:b/>
          <w:bCs w:val="0"/>
        </w:rPr>
      </w:pPr>
      <w:r w:rsidRPr="00AA4ADB">
        <w:rPr>
          <w:rStyle w:val="Strong"/>
          <w:rFonts w:ascii="Cambria" w:hAnsi="Cambria"/>
          <w:b/>
          <w:bCs w:val="0"/>
        </w:rPr>
        <w:t>S</w:t>
      </w:r>
      <w:r w:rsidR="00A711BD" w:rsidRPr="00AA4ADB">
        <w:rPr>
          <w:rStyle w:val="Strong"/>
          <w:rFonts w:ascii="Cambria" w:hAnsi="Cambria"/>
          <w:b/>
          <w:bCs w:val="0"/>
        </w:rPr>
        <w:t>tudent Sexual Misconduct Policy</w:t>
      </w:r>
    </w:p>
    <w:p w:rsidR="001E0122" w:rsidRDefault="00224266" w:rsidP="00AA4ADB">
      <w:pPr>
        <w:spacing w:before="120" w:after="120" w:line="360" w:lineRule="auto"/>
        <w:rPr>
          <w:rStyle w:val="Strong"/>
        </w:rPr>
      </w:pPr>
      <w:r w:rsidRPr="006E02F2">
        <w:rPr>
          <w:rFonts w:ascii="Calibri" w:hAnsi="Calibri"/>
        </w:rPr>
        <w:t xml:space="preserve">FDTC is committed to fostering a safe, productive learning environment. Title IX and FDTC policy prohibit discrimination on the basis of sex, which regards sexual misconduct — including harassment, domestic and dating violence, sexual assault, and stalking. We understand that sexual violence can undermine students’ academic success and we encourage students who have experienced some form of sexual misconduct to talk to someone about their experience, so they can get the support they need. Alleged violations of Title IX can be reported confidentially to the Title IX Coordinator at </w:t>
      </w:r>
      <w:hyperlink r:id="rId12" w:history="1">
        <w:r w:rsidR="00DE1F7A">
          <w:rPr>
            <w:rStyle w:val="Hyperlink"/>
            <w:rFonts w:ascii="Calibri" w:hAnsi="Calibri"/>
          </w:rPr>
          <w:t>Florence Darlington Technical College, Human Resources, Title IX</w:t>
        </w:r>
      </w:hyperlink>
      <w:r w:rsidRPr="006E02F2">
        <w:rPr>
          <w:rFonts w:ascii="Calibri" w:hAnsi="Calibri"/>
        </w:rPr>
        <w:t xml:space="preserve">. Anonymous reporting is not acceptable as this will hinder the investigative process. </w:t>
      </w:r>
      <w:r w:rsidR="00F466AE" w:rsidRPr="00DE1F7A">
        <w:rPr>
          <w:rStyle w:val="Emphasis"/>
        </w:rPr>
        <w:t>Please refer to Important College</w:t>
      </w:r>
      <w:r w:rsidRPr="00DE1F7A">
        <w:rPr>
          <w:rStyle w:val="Emphasis"/>
        </w:rPr>
        <w:t xml:space="preserve"> Information folder located in your D2L course Shell.</w:t>
      </w:r>
      <w:r w:rsidRPr="006E02F2">
        <w:rPr>
          <w:rFonts w:ascii="Calibri" w:hAnsi="Calibri"/>
          <w:bCs/>
          <w:color w:val="2E74B5" w:themeColor="accent1" w:themeShade="BF"/>
        </w:rPr>
        <w:t xml:space="preserve"> </w:t>
      </w:r>
      <w:r w:rsidRPr="00DE1F7A">
        <w:rPr>
          <w:rStyle w:val="Strong"/>
        </w:rPr>
        <w:t>(</w:t>
      </w:r>
      <w:r w:rsidR="00DE1F7A" w:rsidRPr="00DE1F7A">
        <w:rPr>
          <w:rStyle w:val="Strong"/>
        </w:rPr>
        <w:t xml:space="preserve">Insert </w:t>
      </w:r>
      <w:r w:rsidR="00DE1F7A">
        <w:rPr>
          <w:rStyle w:val="Strong"/>
        </w:rPr>
        <w:t xml:space="preserve">a </w:t>
      </w:r>
      <w:r w:rsidR="0070450A">
        <w:rPr>
          <w:rStyle w:val="Strong"/>
        </w:rPr>
        <w:t>Hyperlink to D2L)</w:t>
      </w:r>
    </w:p>
    <w:p w:rsidR="001E0122" w:rsidRDefault="006E02F2" w:rsidP="006327FC">
      <w:pPr>
        <w:pStyle w:val="Heading3"/>
        <w:spacing w:after="120" w:line="360" w:lineRule="auto"/>
      </w:pPr>
      <w:r w:rsidRPr="006E02F2">
        <w:t>DISABILITIES STATEMENT:</w:t>
      </w:r>
    </w:p>
    <w:p w:rsidR="00DE1F7A" w:rsidRDefault="00224266" w:rsidP="001E0122">
      <w:pPr>
        <w:spacing w:after="0" w:line="360" w:lineRule="auto"/>
        <w:rPr>
          <w:rFonts w:ascii="Calibri" w:hAnsi="Calibri"/>
          <w:bCs/>
          <w:color w:val="2E74B5" w:themeColor="accent1" w:themeShade="BF"/>
        </w:rPr>
      </w:pPr>
      <w:r w:rsidRPr="001E0122">
        <w:t>If you have a disability for which reasonable accommodations may be required in this class, please contact Student Disabilities Office (SDO) in 114-A as soon as possible to discuss your needs and register for accommodations with the college. If you have already arranged accommodations through SDO, please discuss with course faculty during office hours. Faculty are unable to provide accommodations until I have a referral from Student Disabilities Office has been received. The SDO will work with students and faculty to arrange proctored exams for students whose accommodations include extra time for ex</w:t>
      </w:r>
      <w:r w:rsidR="0070450A">
        <w:t xml:space="preserve">ams and/or assisted technology. </w:t>
      </w:r>
      <w:r w:rsidRPr="001E0122">
        <w:t>The Student Disabilities Office may be contacted at 843-661-8124.</w:t>
      </w:r>
      <w:r w:rsidR="0070450A">
        <w:rPr>
          <w:rFonts w:ascii="Calibri" w:hAnsi="Calibri"/>
        </w:rPr>
        <w:t xml:space="preserve"> </w:t>
      </w:r>
      <w:r w:rsidR="00DE1F7A" w:rsidRPr="00DE1F7A">
        <w:rPr>
          <w:rStyle w:val="Emphasis"/>
        </w:rPr>
        <w:t>Please refer to Important College Information folder located in your D2L course Shell.</w:t>
      </w:r>
      <w:r w:rsidR="00DE1F7A" w:rsidRPr="006E02F2">
        <w:rPr>
          <w:rFonts w:ascii="Calibri" w:hAnsi="Calibri"/>
          <w:bCs/>
          <w:color w:val="2E74B5" w:themeColor="accent1" w:themeShade="BF"/>
        </w:rPr>
        <w:t xml:space="preserve">  </w:t>
      </w:r>
      <w:r w:rsidR="00DE1F7A" w:rsidRPr="00DE1F7A">
        <w:rPr>
          <w:rStyle w:val="Strong"/>
        </w:rPr>
        <w:t xml:space="preserve">(Insert </w:t>
      </w:r>
      <w:r w:rsidR="00DE1F7A">
        <w:rPr>
          <w:rStyle w:val="Strong"/>
        </w:rPr>
        <w:t xml:space="preserve">a </w:t>
      </w:r>
      <w:r w:rsidR="00DE1F7A" w:rsidRPr="00DE1F7A">
        <w:rPr>
          <w:rStyle w:val="Strong"/>
        </w:rPr>
        <w:t>Hyperlink to D2L)</w:t>
      </w:r>
    </w:p>
    <w:p w:rsidR="006E02F2" w:rsidRDefault="006E02F2" w:rsidP="006327FC">
      <w:pPr>
        <w:pStyle w:val="Heading3"/>
        <w:spacing w:after="120" w:line="360" w:lineRule="auto"/>
        <w:rPr>
          <w:b w:val="0"/>
        </w:rPr>
      </w:pPr>
      <w:r>
        <w:t>OFFICIAL COMMUNICATION</w:t>
      </w:r>
    </w:p>
    <w:p w:rsidR="00DD5694" w:rsidRPr="00B617AD" w:rsidRDefault="006E02F2" w:rsidP="006B6948">
      <w:pPr>
        <w:pBdr>
          <w:bottom w:val="single" w:sz="6" w:space="1" w:color="auto"/>
        </w:pBdr>
        <w:rPr>
          <w:szCs w:val="24"/>
        </w:rPr>
      </w:pPr>
      <w:r>
        <w:rPr>
          <w:szCs w:val="24"/>
        </w:rPr>
        <w:t>The College will communicate with students u</w:t>
      </w:r>
      <w:r w:rsidR="0070450A">
        <w:rPr>
          <w:szCs w:val="24"/>
        </w:rPr>
        <w:t xml:space="preserve">sing the student email system. </w:t>
      </w:r>
      <w:bookmarkStart w:id="0" w:name="_GoBack"/>
      <w:bookmarkEnd w:id="0"/>
      <w:r>
        <w:rPr>
          <w:szCs w:val="24"/>
        </w:rPr>
        <w:t>Official communications will not be sent to personal email accounts.</w:t>
      </w:r>
      <w:r w:rsidR="006B6948" w:rsidRPr="00B617AD">
        <w:rPr>
          <w:szCs w:val="24"/>
        </w:rPr>
        <w:t xml:space="preserve"> </w:t>
      </w:r>
    </w:p>
    <w:p w:rsidR="00903BF6" w:rsidRDefault="00903BF6" w:rsidP="00903BF6">
      <w:pPr>
        <w:pBdr>
          <w:top w:val="single" w:sz="4" w:space="1" w:color="auto"/>
          <w:left w:val="single" w:sz="4" w:space="4" w:color="auto"/>
          <w:bottom w:val="single" w:sz="4" w:space="1" w:color="auto"/>
          <w:right w:val="single" w:sz="4" w:space="4" w:color="auto"/>
        </w:pBdr>
        <w:spacing w:before="480"/>
      </w:pPr>
      <w:r w:rsidRPr="00B8550E">
        <w:t>This workforce solution was funded by a grant awarded by the U.S. Department of Labor's Employment and Train</w:t>
      </w:r>
      <w:r>
        <w:t>ing Administration.  The product</w:t>
      </w:r>
      <w:r w:rsidRPr="00B8550E">
        <w:t xml:space="preserve"> was created by the grantee and does not necessarily reflect the official position of the U.S. Department of Labor.  The</w:t>
      </w:r>
      <w:r>
        <w:t xml:space="preserve"> U.S. </w:t>
      </w:r>
      <w:r w:rsidRPr="00B8550E">
        <w:t>Department of Lab</w:t>
      </w:r>
      <w:r>
        <w:t>or makes no guarantees, warranti</w:t>
      </w:r>
      <w:r w:rsidRPr="00B8550E">
        <w:t>es, or assurances of any kind, express or implied, with respect to such information, including any information on linked sites, and including, but not limited to</w:t>
      </w:r>
      <w:r>
        <w:t>,</w:t>
      </w:r>
      <w:r w:rsidRPr="00B8550E">
        <w:t xml:space="preserve"> accuracy of the information or its completeness, timeliness, usefulness, adequacy, continued availability or ownership.</w:t>
      </w:r>
    </w:p>
    <w:p w:rsidR="004757DE" w:rsidRDefault="004757DE" w:rsidP="00DD5694">
      <w:pPr>
        <w:pStyle w:val="BodyTextIndent"/>
        <w:ind w:left="0"/>
        <w:rPr>
          <w:rFonts w:ascii="Calibri" w:hAnsi="Calibri"/>
          <w:szCs w:val="24"/>
        </w:rPr>
      </w:pPr>
    </w:p>
    <w:sectPr w:rsidR="004757DE" w:rsidSect="00903BF6">
      <w:headerReference w:type="default" r:id="rId13"/>
      <w:footerReference w:type="default" r:id="rId14"/>
      <w:pgSz w:w="12240" w:h="15840"/>
      <w:pgMar w:top="1152" w:right="1440" w:bottom="1008" w:left="1440" w:header="288"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38B" w:rsidRDefault="006A138B" w:rsidP="00FD5D93">
      <w:r>
        <w:separator/>
      </w:r>
    </w:p>
  </w:endnote>
  <w:endnote w:type="continuationSeparator" w:id="0">
    <w:p w:rsidR="006A138B" w:rsidRDefault="006A138B" w:rsidP="00FD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Open Sans">
    <w:altName w:val="Tahoma"/>
    <w:charset w:val="00"/>
    <w:family w:val="swiss"/>
    <w:pitch w:val="variable"/>
    <w:sig w:usb0="00000001" w:usb1="4000205B" w:usb2="00000028" w:usb3="00000000" w:csb0="0000019F" w:csb1="00000000"/>
  </w:font>
  <w:font w:name="Arial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F6" w:rsidRDefault="00903BF6">
    <w:pPr>
      <w:tabs>
        <w:tab w:val="center" w:pos="4550"/>
        <w:tab w:val="left" w:pos="5818"/>
      </w:tabs>
      <w:ind w:right="260"/>
      <w:jc w:val="right"/>
      <w:rPr>
        <w:color w:val="323E4F" w:themeColor="text2" w:themeShade="BF"/>
        <w:szCs w:val="24"/>
      </w:rPr>
    </w:pPr>
    <w:r w:rsidRPr="00903BF6">
      <w:rPr>
        <w:spacing w:val="60"/>
        <w:szCs w:val="24"/>
      </w:rPr>
      <w:t>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sidR="0070450A">
      <w:rPr>
        <w:noProof/>
        <w:color w:val="323E4F" w:themeColor="text2" w:themeShade="BF"/>
        <w:szCs w:val="24"/>
      </w:rPr>
      <w:t>6</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sidR="0070450A">
      <w:rPr>
        <w:noProof/>
        <w:color w:val="323E4F" w:themeColor="text2" w:themeShade="BF"/>
        <w:szCs w:val="24"/>
      </w:rPr>
      <w:t>6</w:t>
    </w:r>
    <w:r>
      <w:rPr>
        <w:color w:val="323E4F" w:themeColor="text2" w:themeShade="BF"/>
        <w:szCs w:val="24"/>
      </w:rPr>
      <w:fldChar w:fldCharType="end"/>
    </w:r>
  </w:p>
  <w:p w:rsidR="00C36DBB" w:rsidRDefault="00903BF6" w:rsidP="00903BF6">
    <w:pPr>
      <w:autoSpaceDE w:val="0"/>
      <w:autoSpaceDN w:val="0"/>
      <w:adjustRightInd w:val="0"/>
      <w:spacing w:after="0" w:line="240" w:lineRule="auto"/>
      <w:rPr>
        <w:rStyle w:val="Hyperlink"/>
        <w:rFonts w:ascii="ArialMT" w:cs="ArialMT"/>
      </w:rPr>
    </w:pPr>
    <w:r w:rsidRPr="00903BF6">
      <w:rPr>
        <w:noProof/>
        <w:sz w:val="20"/>
        <w:szCs w:val="20"/>
      </w:rPr>
      <w:drawing>
        <wp:inline distT="0" distB="0" distL="0" distR="0" wp14:anchorId="69B420D0" wp14:editId="3E5BB6DC">
          <wp:extent cx="695325" cy="244944"/>
          <wp:effectExtent l="0" t="0" r="0" b="3175"/>
          <wp:docPr id="1" name="Picture 1" descr="Creative Commons license attribution  logo&#10;" title="Attribution 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
                    <a:extLst>
                      <a:ext uri="{28A0092B-C50C-407E-A947-70E740481C1C}">
                        <a14:useLocalDpi xmlns:a14="http://schemas.microsoft.com/office/drawing/2010/main" val="0"/>
                      </a:ext>
                    </a:extLst>
                  </a:blip>
                  <a:stretch>
                    <a:fillRect/>
                  </a:stretch>
                </pic:blipFill>
                <pic:spPr>
                  <a:xfrm>
                    <a:off x="0" y="0"/>
                    <a:ext cx="695325" cy="244944"/>
                  </a:xfrm>
                  <a:prstGeom prst="rect">
                    <a:avLst/>
                  </a:prstGeom>
                </pic:spPr>
              </pic:pic>
            </a:graphicData>
          </a:graphic>
        </wp:inline>
      </w:drawing>
    </w:r>
    <w:r w:rsidRPr="00903BF6">
      <w:rPr>
        <w:rFonts w:ascii="ArialMT" w:cs="ArialMT"/>
        <w:color w:val="000000"/>
      </w:rPr>
      <w:t xml:space="preserve">  Syllabus AHS 142 by BOOST Consortium, Florence Darlington Community College</w:t>
    </w:r>
    <w:r>
      <w:rPr>
        <w:rFonts w:ascii="ArialMT" w:cs="ArialMT"/>
        <w:color w:val="000000"/>
      </w:rPr>
      <w:t xml:space="preserve"> is licensed under the Creative Commons Attribution 4.0 International License. To view a copy of this license, visit </w:t>
    </w:r>
    <w:hyperlink r:id="rId2" w:history="1">
      <w:r w:rsidRPr="00D74263">
        <w:rPr>
          <w:rStyle w:val="Hyperlink"/>
          <w:rFonts w:ascii="ArialMT" w:cs="ArialMT"/>
        </w:rPr>
        <w:t>Creative Commons 4.0 License</w:t>
      </w:r>
    </w:hyperlink>
  </w:p>
  <w:p w:rsidR="00903BF6" w:rsidRDefault="00903BF6" w:rsidP="00903BF6">
    <w:pPr>
      <w:autoSpaceDE w:val="0"/>
      <w:autoSpaceDN w:val="0"/>
      <w:adjustRightInd w:val="0"/>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38B" w:rsidRDefault="006A138B" w:rsidP="00FD5D93">
      <w:r>
        <w:separator/>
      </w:r>
    </w:p>
  </w:footnote>
  <w:footnote w:type="continuationSeparator" w:id="0">
    <w:p w:rsidR="006A138B" w:rsidRDefault="006A138B" w:rsidP="00FD5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CAD" w:rsidRPr="00975CAD" w:rsidRDefault="00975CAD" w:rsidP="00975CAD">
    <w:pPr>
      <w:pStyle w:val="Title"/>
      <w:jc w:val="center"/>
      <w:rPr>
        <w:sz w:val="40"/>
      </w:rPr>
    </w:pPr>
    <w:r w:rsidRPr="00975CAD">
      <w:rPr>
        <w:sz w:val="40"/>
      </w:rPr>
      <w:t>FLORENCE DARLINGTON TECHNICAL COLLEGE</w:t>
    </w:r>
  </w:p>
  <w:p w:rsidR="00975CAD" w:rsidRPr="00975CAD" w:rsidRDefault="00975CAD" w:rsidP="001E0122">
    <w:pPr>
      <w:pStyle w:val="Heading1"/>
      <w:spacing w:before="0" w:after="240"/>
      <w:jc w:val="center"/>
      <w:rPr>
        <w:rFonts w:ascii="Calibri" w:hAnsi="Calibri"/>
      </w:rPr>
    </w:pPr>
    <w:r w:rsidRPr="00975CAD">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032E6"/>
    <w:multiLevelType w:val="hybridMultilevel"/>
    <w:tmpl w:val="A0125B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BB4D2B"/>
    <w:multiLevelType w:val="hybridMultilevel"/>
    <w:tmpl w:val="68D4295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F9B59A5"/>
    <w:multiLevelType w:val="hybridMultilevel"/>
    <w:tmpl w:val="D63A10D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24A442D"/>
    <w:multiLevelType w:val="hybridMultilevel"/>
    <w:tmpl w:val="62A02B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DE0CCD"/>
    <w:multiLevelType w:val="hybridMultilevel"/>
    <w:tmpl w:val="6832D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0B5C2D"/>
    <w:multiLevelType w:val="hybridMultilevel"/>
    <w:tmpl w:val="F0F0DF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D3D64"/>
    <w:multiLevelType w:val="hybridMultilevel"/>
    <w:tmpl w:val="AF3E7968"/>
    <w:lvl w:ilvl="0" w:tplc="04090001">
      <w:start w:val="1"/>
      <w:numFmt w:val="bullet"/>
      <w:lvlText w:val=""/>
      <w:lvlJc w:val="left"/>
      <w:pPr>
        <w:tabs>
          <w:tab w:val="num" w:pos="1440"/>
        </w:tabs>
        <w:ind w:left="1440" w:hanging="360"/>
      </w:pPr>
      <w:rPr>
        <w:rFonts w:ascii="Symbol" w:hAnsi="Symbol" w:hint="default"/>
      </w:rPr>
    </w:lvl>
    <w:lvl w:ilvl="1" w:tplc="6D7471E8">
      <w:start w:val="2"/>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E880937"/>
    <w:multiLevelType w:val="hybridMultilevel"/>
    <w:tmpl w:val="058E57F0"/>
    <w:lvl w:ilvl="0" w:tplc="E5905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191F96"/>
    <w:multiLevelType w:val="hybridMultilevel"/>
    <w:tmpl w:val="D5329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0F0B3A"/>
    <w:multiLevelType w:val="hybridMultilevel"/>
    <w:tmpl w:val="4AF4D892"/>
    <w:lvl w:ilvl="0" w:tplc="F2320528">
      <w:start w:val="1"/>
      <w:numFmt w:val="upperRoman"/>
      <w:lvlText w:val="%1."/>
      <w:lvlJc w:val="right"/>
      <w:pPr>
        <w:tabs>
          <w:tab w:val="num" w:pos="720"/>
        </w:tabs>
        <w:ind w:left="720" w:hanging="18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A87C8A"/>
    <w:multiLevelType w:val="hybridMultilevel"/>
    <w:tmpl w:val="07EAE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C79D2"/>
    <w:multiLevelType w:val="hybridMultilevel"/>
    <w:tmpl w:val="5CD01A9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3E6435F3"/>
    <w:multiLevelType w:val="hybridMultilevel"/>
    <w:tmpl w:val="576E69BE"/>
    <w:lvl w:ilvl="0" w:tplc="6D7471E8">
      <w:start w:val="2"/>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38925C3"/>
    <w:multiLevelType w:val="hybridMultilevel"/>
    <w:tmpl w:val="5C86DCE0"/>
    <w:lvl w:ilvl="0" w:tplc="C5AE1B3E">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AF67558"/>
    <w:multiLevelType w:val="hybridMultilevel"/>
    <w:tmpl w:val="22BE190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4BC32CA1"/>
    <w:multiLevelType w:val="hybridMultilevel"/>
    <w:tmpl w:val="8E887FC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54DC3EB7"/>
    <w:multiLevelType w:val="hybridMultilevel"/>
    <w:tmpl w:val="88803FA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617D5684"/>
    <w:multiLevelType w:val="hybridMultilevel"/>
    <w:tmpl w:val="B804E2D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69442559"/>
    <w:multiLevelType w:val="hybridMultilevel"/>
    <w:tmpl w:val="37F88704"/>
    <w:lvl w:ilvl="0" w:tplc="109C8BD6">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73177A27"/>
    <w:multiLevelType w:val="hybridMultilevel"/>
    <w:tmpl w:val="5A409B0E"/>
    <w:lvl w:ilvl="0" w:tplc="0CF68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75342"/>
    <w:multiLevelType w:val="hybridMultilevel"/>
    <w:tmpl w:val="9044FA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430970"/>
    <w:multiLevelType w:val="hybridMultilevel"/>
    <w:tmpl w:val="616CEC04"/>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DF16B70"/>
    <w:multiLevelType w:val="hybridMultilevel"/>
    <w:tmpl w:val="0416FF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8"/>
  </w:num>
  <w:num w:numId="3">
    <w:abstractNumId w:val="3"/>
  </w:num>
  <w:num w:numId="4">
    <w:abstractNumId w:val="16"/>
  </w:num>
  <w:num w:numId="5">
    <w:abstractNumId w:val="22"/>
  </w:num>
  <w:num w:numId="6">
    <w:abstractNumId w:val="15"/>
  </w:num>
  <w:num w:numId="7">
    <w:abstractNumId w:val="5"/>
  </w:num>
  <w:num w:numId="8">
    <w:abstractNumId w:val="20"/>
  </w:num>
  <w:num w:numId="9">
    <w:abstractNumId w:val="17"/>
  </w:num>
  <w:num w:numId="10">
    <w:abstractNumId w:val="0"/>
  </w:num>
  <w:num w:numId="11">
    <w:abstractNumId w:val="14"/>
  </w:num>
  <w:num w:numId="12">
    <w:abstractNumId w:val="11"/>
  </w:num>
  <w:num w:numId="13">
    <w:abstractNumId w:val="1"/>
  </w:num>
  <w:num w:numId="14">
    <w:abstractNumId w:val="2"/>
  </w:num>
  <w:num w:numId="15">
    <w:abstractNumId w:val="12"/>
  </w:num>
  <w:num w:numId="16">
    <w:abstractNumId w:val="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8"/>
  </w:num>
  <w:num w:numId="20">
    <w:abstractNumId w:val="19"/>
  </w:num>
  <w:num w:numId="21">
    <w:abstractNumId w:val="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47"/>
    <w:rsid w:val="00005684"/>
    <w:rsid w:val="00017BBB"/>
    <w:rsid w:val="000573F9"/>
    <w:rsid w:val="00064B04"/>
    <w:rsid w:val="00070AC1"/>
    <w:rsid w:val="00081051"/>
    <w:rsid w:val="00093413"/>
    <w:rsid w:val="00094BF0"/>
    <w:rsid w:val="000D42FE"/>
    <w:rsid w:val="000E4EBE"/>
    <w:rsid w:val="00114FEC"/>
    <w:rsid w:val="001428E6"/>
    <w:rsid w:val="001465A6"/>
    <w:rsid w:val="00166847"/>
    <w:rsid w:val="00191AC9"/>
    <w:rsid w:val="001922EA"/>
    <w:rsid w:val="001E0122"/>
    <w:rsid w:val="001E5031"/>
    <w:rsid w:val="001F3EC5"/>
    <w:rsid w:val="002009F2"/>
    <w:rsid w:val="00224266"/>
    <w:rsid w:val="0022636C"/>
    <w:rsid w:val="00227F8F"/>
    <w:rsid w:val="00246ECA"/>
    <w:rsid w:val="00250FD8"/>
    <w:rsid w:val="00251515"/>
    <w:rsid w:val="00280A1D"/>
    <w:rsid w:val="0028212C"/>
    <w:rsid w:val="002A2067"/>
    <w:rsid w:val="002A45C0"/>
    <w:rsid w:val="002B395C"/>
    <w:rsid w:val="002C1E2D"/>
    <w:rsid w:val="002D0117"/>
    <w:rsid w:val="002D4F9B"/>
    <w:rsid w:val="002F45F6"/>
    <w:rsid w:val="003153DA"/>
    <w:rsid w:val="0034700F"/>
    <w:rsid w:val="00371940"/>
    <w:rsid w:val="003724E7"/>
    <w:rsid w:val="003739F1"/>
    <w:rsid w:val="003779FC"/>
    <w:rsid w:val="00385C1B"/>
    <w:rsid w:val="00390DB7"/>
    <w:rsid w:val="003957AA"/>
    <w:rsid w:val="003A297A"/>
    <w:rsid w:val="003C3E43"/>
    <w:rsid w:val="003E0E97"/>
    <w:rsid w:val="003E66F0"/>
    <w:rsid w:val="003F1F92"/>
    <w:rsid w:val="004164E9"/>
    <w:rsid w:val="0041735E"/>
    <w:rsid w:val="0042331D"/>
    <w:rsid w:val="004239C0"/>
    <w:rsid w:val="004409B5"/>
    <w:rsid w:val="00441BD7"/>
    <w:rsid w:val="004642F5"/>
    <w:rsid w:val="004757DE"/>
    <w:rsid w:val="004841B6"/>
    <w:rsid w:val="004A17C0"/>
    <w:rsid w:val="004A33D8"/>
    <w:rsid w:val="004F0E88"/>
    <w:rsid w:val="005920D8"/>
    <w:rsid w:val="00594373"/>
    <w:rsid w:val="005C0CA7"/>
    <w:rsid w:val="005C1BB5"/>
    <w:rsid w:val="005D2216"/>
    <w:rsid w:val="005E4F16"/>
    <w:rsid w:val="006327FC"/>
    <w:rsid w:val="006A138B"/>
    <w:rsid w:val="006A670F"/>
    <w:rsid w:val="006A7CBC"/>
    <w:rsid w:val="006B6948"/>
    <w:rsid w:val="006E02F2"/>
    <w:rsid w:val="006E0B28"/>
    <w:rsid w:val="0070450A"/>
    <w:rsid w:val="00713C0B"/>
    <w:rsid w:val="0072437A"/>
    <w:rsid w:val="00776648"/>
    <w:rsid w:val="007867E1"/>
    <w:rsid w:val="007A3859"/>
    <w:rsid w:val="007F05DB"/>
    <w:rsid w:val="00823ECC"/>
    <w:rsid w:val="0085499F"/>
    <w:rsid w:val="00860324"/>
    <w:rsid w:val="00860814"/>
    <w:rsid w:val="00890286"/>
    <w:rsid w:val="00897975"/>
    <w:rsid w:val="008A285D"/>
    <w:rsid w:val="008B31D3"/>
    <w:rsid w:val="00903BF6"/>
    <w:rsid w:val="009117B2"/>
    <w:rsid w:val="009211E2"/>
    <w:rsid w:val="00924C4D"/>
    <w:rsid w:val="0096364E"/>
    <w:rsid w:val="00964218"/>
    <w:rsid w:val="00975CAD"/>
    <w:rsid w:val="009B172C"/>
    <w:rsid w:val="009F0554"/>
    <w:rsid w:val="00A0319B"/>
    <w:rsid w:val="00A12C79"/>
    <w:rsid w:val="00A20A36"/>
    <w:rsid w:val="00A24E07"/>
    <w:rsid w:val="00A33149"/>
    <w:rsid w:val="00A53EBB"/>
    <w:rsid w:val="00A711BD"/>
    <w:rsid w:val="00AA10CD"/>
    <w:rsid w:val="00AA4ADB"/>
    <w:rsid w:val="00AB3F9A"/>
    <w:rsid w:val="00AB46BA"/>
    <w:rsid w:val="00AB744C"/>
    <w:rsid w:val="00AE14F5"/>
    <w:rsid w:val="00AE79B1"/>
    <w:rsid w:val="00AF325A"/>
    <w:rsid w:val="00B004FE"/>
    <w:rsid w:val="00B005A9"/>
    <w:rsid w:val="00B33C44"/>
    <w:rsid w:val="00B35B79"/>
    <w:rsid w:val="00B36D30"/>
    <w:rsid w:val="00B5512E"/>
    <w:rsid w:val="00B617AD"/>
    <w:rsid w:val="00B644C5"/>
    <w:rsid w:val="00B72356"/>
    <w:rsid w:val="00BA649D"/>
    <w:rsid w:val="00BC47C7"/>
    <w:rsid w:val="00BC7939"/>
    <w:rsid w:val="00BC7FD6"/>
    <w:rsid w:val="00BD11D2"/>
    <w:rsid w:val="00BE3899"/>
    <w:rsid w:val="00BE3EBB"/>
    <w:rsid w:val="00BF1A25"/>
    <w:rsid w:val="00C200F3"/>
    <w:rsid w:val="00C25EC9"/>
    <w:rsid w:val="00C36DBB"/>
    <w:rsid w:val="00C4449A"/>
    <w:rsid w:val="00C54F6F"/>
    <w:rsid w:val="00C61DEA"/>
    <w:rsid w:val="00C726C5"/>
    <w:rsid w:val="00C759A4"/>
    <w:rsid w:val="00C84064"/>
    <w:rsid w:val="00C91CC4"/>
    <w:rsid w:val="00CB53AF"/>
    <w:rsid w:val="00CD6EC1"/>
    <w:rsid w:val="00CE7025"/>
    <w:rsid w:val="00CF34E7"/>
    <w:rsid w:val="00CF5F50"/>
    <w:rsid w:val="00D000C7"/>
    <w:rsid w:val="00D07A4B"/>
    <w:rsid w:val="00D10A94"/>
    <w:rsid w:val="00D37DC6"/>
    <w:rsid w:val="00D4358C"/>
    <w:rsid w:val="00D5316A"/>
    <w:rsid w:val="00D71C8A"/>
    <w:rsid w:val="00D72436"/>
    <w:rsid w:val="00D81891"/>
    <w:rsid w:val="00D84D2A"/>
    <w:rsid w:val="00DB4A2E"/>
    <w:rsid w:val="00DC71BA"/>
    <w:rsid w:val="00DD1B1D"/>
    <w:rsid w:val="00DD2B53"/>
    <w:rsid w:val="00DD2D33"/>
    <w:rsid w:val="00DD5694"/>
    <w:rsid w:val="00DE1F7A"/>
    <w:rsid w:val="00DE2B80"/>
    <w:rsid w:val="00DF1248"/>
    <w:rsid w:val="00DF131B"/>
    <w:rsid w:val="00E00165"/>
    <w:rsid w:val="00E11A9F"/>
    <w:rsid w:val="00E17744"/>
    <w:rsid w:val="00E32BB9"/>
    <w:rsid w:val="00E50348"/>
    <w:rsid w:val="00E5683F"/>
    <w:rsid w:val="00E6065C"/>
    <w:rsid w:val="00E8591C"/>
    <w:rsid w:val="00E95BA7"/>
    <w:rsid w:val="00ED31AE"/>
    <w:rsid w:val="00ED7A23"/>
    <w:rsid w:val="00EE6B33"/>
    <w:rsid w:val="00EF2D92"/>
    <w:rsid w:val="00F07358"/>
    <w:rsid w:val="00F31290"/>
    <w:rsid w:val="00F466AE"/>
    <w:rsid w:val="00F57E77"/>
    <w:rsid w:val="00F650EC"/>
    <w:rsid w:val="00F67985"/>
    <w:rsid w:val="00F7092F"/>
    <w:rsid w:val="00F7237F"/>
    <w:rsid w:val="00FA4FA2"/>
    <w:rsid w:val="00FA7930"/>
    <w:rsid w:val="00FD5D93"/>
    <w:rsid w:val="00FD603F"/>
    <w:rsid w:val="00FF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DEA"/>
    <w:rPr>
      <w:rFonts w:eastAsiaTheme="minorEastAsia"/>
      <w:sz w:val="24"/>
    </w:rPr>
  </w:style>
  <w:style w:type="paragraph" w:styleId="Heading1">
    <w:name w:val="heading 1"/>
    <w:basedOn w:val="Normal"/>
    <w:next w:val="Normal"/>
    <w:link w:val="Heading1Char"/>
    <w:uiPriority w:val="9"/>
    <w:qFormat/>
    <w:rsid w:val="001E0122"/>
    <w:pPr>
      <w:keepNext/>
      <w:keepLines/>
      <w:spacing w:before="240" w:after="0"/>
      <w:outlineLvl w:val="0"/>
    </w:pPr>
    <w:rPr>
      <w:rFonts w:ascii="Cambria" w:eastAsiaTheme="majorEastAsia" w:hAnsi="Cambria" w:cstheme="majorBidi"/>
      <w:b/>
      <w:color w:val="262626" w:themeColor="text1" w:themeTint="D9"/>
      <w:sz w:val="32"/>
      <w:szCs w:val="32"/>
    </w:rPr>
  </w:style>
  <w:style w:type="paragraph" w:styleId="Heading2">
    <w:name w:val="heading 2"/>
    <w:basedOn w:val="Normal"/>
    <w:next w:val="Normal"/>
    <w:link w:val="Heading2Char"/>
    <w:uiPriority w:val="9"/>
    <w:unhideWhenUsed/>
    <w:qFormat/>
    <w:rsid w:val="001E0122"/>
    <w:pPr>
      <w:keepNext/>
      <w:keepLines/>
      <w:spacing w:before="40" w:after="0" w:line="360" w:lineRule="auto"/>
      <w:outlineLvl w:val="1"/>
    </w:pPr>
    <w:rPr>
      <w:rFonts w:ascii="Cambria" w:eastAsiaTheme="majorEastAsia" w:hAnsi="Cambria" w:cstheme="majorBidi"/>
      <w:b/>
      <w:color w:val="262626" w:themeColor="text1" w:themeTint="D9"/>
      <w:sz w:val="28"/>
      <w:szCs w:val="28"/>
    </w:rPr>
  </w:style>
  <w:style w:type="paragraph" w:styleId="Heading3">
    <w:name w:val="heading 3"/>
    <w:basedOn w:val="Normal"/>
    <w:next w:val="Normal"/>
    <w:link w:val="Heading3Char"/>
    <w:uiPriority w:val="9"/>
    <w:unhideWhenUsed/>
    <w:qFormat/>
    <w:rsid w:val="001E0122"/>
    <w:pPr>
      <w:keepNext/>
      <w:keepLines/>
      <w:spacing w:before="120" w:after="0"/>
      <w:outlineLvl w:val="2"/>
    </w:pPr>
    <w:rPr>
      <w:rFonts w:ascii="Cambria" w:eastAsiaTheme="majorEastAsia" w:hAnsi="Cambria" w:cstheme="majorBidi"/>
      <w:b/>
      <w:spacing w:val="4"/>
      <w:szCs w:val="24"/>
    </w:rPr>
  </w:style>
  <w:style w:type="paragraph" w:styleId="Heading4">
    <w:name w:val="heading 4"/>
    <w:basedOn w:val="Normal"/>
    <w:next w:val="Normal"/>
    <w:link w:val="Heading4Char"/>
    <w:uiPriority w:val="9"/>
    <w:unhideWhenUsed/>
    <w:qFormat/>
    <w:rsid w:val="00AA4ADB"/>
    <w:pPr>
      <w:keepNext/>
      <w:keepLines/>
      <w:spacing w:before="40" w:after="0"/>
      <w:outlineLvl w:val="3"/>
    </w:pPr>
    <w:rPr>
      <w:rFonts w:ascii="Cambria" w:eastAsiaTheme="majorEastAsia" w:hAnsi="Cambria" w:cstheme="majorBidi"/>
      <w:b/>
      <w:i/>
      <w:iCs/>
      <w:color w:val="000000" w:themeColor="text1"/>
    </w:rPr>
  </w:style>
  <w:style w:type="paragraph" w:styleId="Heading5">
    <w:name w:val="heading 5"/>
    <w:basedOn w:val="Normal"/>
    <w:next w:val="Normal"/>
    <w:link w:val="Heading5Char"/>
    <w:uiPriority w:val="9"/>
    <w:semiHidden/>
    <w:unhideWhenUsed/>
    <w:qFormat/>
    <w:rsid w:val="001E0122"/>
    <w:pPr>
      <w:keepNext/>
      <w:keepLines/>
      <w:spacing w:before="40" w:after="0"/>
      <w:outlineLvl w:val="4"/>
    </w:pPr>
    <w:rPr>
      <w:rFonts w:ascii="Cambria" w:eastAsiaTheme="majorEastAsia" w:hAnsi="Cambria" w:cstheme="majorBidi"/>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122"/>
    <w:rPr>
      <w:rFonts w:ascii="Cambria" w:eastAsiaTheme="majorEastAsia" w:hAnsi="Cambria" w:cstheme="majorBidi"/>
      <w:b/>
      <w:color w:val="262626" w:themeColor="text1" w:themeTint="D9"/>
      <w:sz w:val="32"/>
      <w:szCs w:val="32"/>
    </w:rPr>
  </w:style>
  <w:style w:type="character" w:customStyle="1" w:styleId="Heading2Char">
    <w:name w:val="Heading 2 Char"/>
    <w:basedOn w:val="DefaultParagraphFont"/>
    <w:link w:val="Heading2"/>
    <w:uiPriority w:val="9"/>
    <w:rsid w:val="001E0122"/>
    <w:rPr>
      <w:rFonts w:ascii="Cambria" w:eastAsiaTheme="majorEastAsia" w:hAnsi="Cambria" w:cstheme="majorBidi"/>
      <w:b/>
      <w:color w:val="262626" w:themeColor="text1" w:themeTint="D9"/>
      <w:sz w:val="28"/>
      <w:szCs w:val="28"/>
    </w:rPr>
  </w:style>
  <w:style w:type="character" w:customStyle="1" w:styleId="Heading3Char">
    <w:name w:val="Heading 3 Char"/>
    <w:basedOn w:val="DefaultParagraphFont"/>
    <w:link w:val="Heading3"/>
    <w:uiPriority w:val="9"/>
    <w:rsid w:val="001E0122"/>
    <w:rPr>
      <w:rFonts w:ascii="Cambria" w:eastAsiaTheme="majorEastAsia" w:hAnsi="Cambria" w:cstheme="majorBidi"/>
      <w:b/>
      <w:spacing w:val="4"/>
      <w:sz w:val="24"/>
      <w:szCs w:val="24"/>
    </w:rPr>
  </w:style>
  <w:style w:type="character" w:styleId="Hyperlink">
    <w:name w:val="Hyperlink"/>
    <w:uiPriority w:val="99"/>
    <w:rsid w:val="003739F1"/>
    <w:rPr>
      <w:rFonts w:cs="Times New Roman"/>
      <w:color w:val="0000FF"/>
      <w:u w:val="single"/>
    </w:rPr>
  </w:style>
  <w:style w:type="paragraph" w:styleId="Title">
    <w:name w:val="Title"/>
    <w:basedOn w:val="Normal"/>
    <w:next w:val="Normal"/>
    <w:link w:val="TitleChar"/>
    <w:uiPriority w:val="10"/>
    <w:qFormat/>
    <w:rsid w:val="001E0122"/>
    <w:pPr>
      <w:spacing w:after="0" w:line="240" w:lineRule="auto"/>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1E0122"/>
    <w:rPr>
      <w:rFonts w:ascii="Cambria" w:eastAsiaTheme="majorEastAsia" w:hAnsi="Cambria" w:cstheme="majorBidi"/>
      <w:spacing w:val="-10"/>
      <w:kern w:val="28"/>
      <w:sz w:val="56"/>
      <w:szCs w:val="56"/>
    </w:rPr>
  </w:style>
  <w:style w:type="paragraph" w:styleId="BodyTextIndent">
    <w:name w:val="Body Text Indent"/>
    <w:basedOn w:val="Normal"/>
    <w:link w:val="BodyTextIndentChar"/>
    <w:uiPriority w:val="99"/>
    <w:rsid w:val="003739F1"/>
    <w:pPr>
      <w:ind w:left="360"/>
    </w:pPr>
  </w:style>
  <w:style w:type="character" w:customStyle="1" w:styleId="BodyTextIndentChar">
    <w:name w:val="Body Text Indent Char"/>
    <w:basedOn w:val="DefaultParagraphFont"/>
    <w:link w:val="BodyTextIndent"/>
    <w:uiPriority w:val="99"/>
    <w:semiHidden/>
    <w:rsid w:val="001B2F83"/>
  </w:style>
  <w:style w:type="character" w:styleId="Strong">
    <w:name w:val="Strong"/>
    <w:basedOn w:val="DefaultParagraphFont"/>
    <w:uiPriority w:val="22"/>
    <w:qFormat/>
    <w:rsid w:val="00C61DEA"/>
    <w:rPr>
      <w:rFonts w:asciiTheme="minorHAnsi" w:hAnsiTheme="minorHAnsi"/>
      <w:b/>
      <w:bCs/>
      <w:sz w:val="24"/>
    </w:rPr>
  </w:style>
  <w:style w:type="paragraph" w:customStyle="1" w:styleId="Default">
    <w:name w:val="Default"/>
    <w:basedOn w:val="Normal"/>
    <w:rsid w:val="00E8591C"/>
    <w:pPr>
      <w:autoSpaceDE w:val="0"/>
      <w:autoSpaceDN w:val="0"/>
    </w:pPr>
    <w:rPr>
      <w:rFonts w:eastAsia="Calibri"/>
      <w:color w:val="000000"/>
      <w:szCs w:val="24"/>
    </w:rPr>
  </w:style>
  <w:style w:type="paragraph" w:styleId="ListParagraph">
    <w:name w:val="List Paragraph"/>
    <w:basedOn w:val="Normal"/>
    <w:uiPriority w:val="34"/>
    <w:qFormat/>
    <w:rsid w:val="001E0122"/>
    <w:pPr>
      <w:spacing w:after="0" w:line="360" w:lineRule="auto"/>
      <w:contextualSpacing/>
    </w:pPr>
    <w:rPr>
      <w:color w:val="000000" w:themeColor="text1"/>
    </w:rPr>
  </w:style>
  <w:style w:type="paragraph" w:styleId="Header">
    <w:name w:val="header"/>
    <w:basedOn w:val="Normal"/>
    <w:link w:val="HeaderChar"/>
    <w:rsid w:val="00FD5D93"/>
    <w:pPr>
      <w:tabs>
        <w:tab w:val="center" w:pos="4680"/>
        <w:tab w:val="right" w:pos="9360"/>
      </w:tabs>
    </w:pPr>
  </w:style>
  <w:style w:type="character" w:customStyle="1" w:styleId="HeaderChar">
    <w:name w:val="Header Char"/>
    <w:basedOn w:val="DefaultParagraphFont"/>
    <w:link w:val="Header"/>
    <w:rsid w:val="00FD5D93"/>
  </w:style>
  <w:style w:type="paragraph" w:styleId="Footer">
    <w:name w:val="footer"/>
    <w:basedOn w:val="Normal"/>
    <w:link w:val="FooterChar"/>
    <w:uiPriority w:val="99"/>
    <w:rsid w:val="00FD5D93"/>
    <w:pPr>
      <w:tabs>
        <w:tab w:val="center" w:pos="4680"/>
        <w:tab w:val="right" w:pos="9360"/>
      </w:tabs>
    </w:pPr>
  </w:style>
  <w:style w:type="character" w:customStyle="1" w:styleId="FooterChar">
    <w:name w:val="Footer Char"/>
    <w:basedOn w:val="DefaultParagraphFont"/>
    <w:link w:val="Footer"/>
    <w:uiPriority w:val="99"/>
    <w:rsid w:val="00FD5D93"/>
  </w:style>
  <w:style w:type="table" w:styleId="TableGrid">
    <w:name w:val="Table Grid"/>
    <w:basedOn w:val="TableNormal"/>
    <w:rsid w:val="00D37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37DC6"/>
    <w:rPr>
      <w:color w:val="808080"/>
    </w:rPr>
  </w:style>
  <w:style w:type="paragraph" w:styleId="BalloonText">
    <w:name w:val="Balloon Text"/>
    <w:basedOn w:val="Normal"/>
    <w:link w:val="BalloonTextChar"/>
    <w:rsid w:val="00B72356"/>
    <w:rPr>
      <w:rFonts w:ascii="Tahoma" w:hAnsi="Tahoma" w:cs="Tahoma"/>
      <w:sz w:val="16"/>
      <w:szCs w:val="16"/>
    </w:rPr>
  </w:style>
  <w:style w:type="character" w:customStyle="1" w:styleId="BalloonTextChar">
    <w:name w:val="Balloon Text Char"/>
    <w:link w:val="BalloonText"/>
    <w:rsid w:val="00B72356"/>
    <w:rPr>
      <w:rFonts w:ascii="Tahoma" w:hAnsi="Tahoma" w:cs="Tahoma"/>
      <w:sz w:val="16"/>
      <w:szCs w:val="16"/>
    </w:rPr>
  </w:style>
  <w:style w:type="character" w:styleId="FollowedHyperlink">
    <w:name w:val="FollowedHyperlink"/>
    <w:basedOn w:val="DefaultParagraphFont"/>
    <w:semiHidden/>
    <w:unhideWhenUsed/>
    <w:rsid w:val="00F67985"/>
    <w:rPr>
      <w:color w:val="954F72" w:themeColor="followedHyperlink"/>
      <w:u w:val="single"/>
    </w:rPr>
  </w:style>
  <w:style w:type="paragraph" w:customStyle="1" w:styleId="BOOSTBW">
    <w:name w:val="BOOST B&amp;W"/>
    <w:basedOn w:val="Normal"/>
    <w:next w:val="Normal"/>
    <w:link w:val="BOOSTBWChar"/>
    <w:autoRedefine/>
    <w:qFormat/>
    <w:rsid w:val="001E0122"/>
    <w:rPr>
      <w:b/>
    </w:rPr>
  </w:style>
  <w:style w:type="character" w:customStyle="1" w:styleId="BOOSTBWChar">
    <w:name w:val="BOOST B&amp;W Char"/>
    <w:basedOn w:val="DefaultParagraphFont"/>
    <w:link w:val="BOOSTBW"/>
    <w:rsid w:val="001E0122"/>
    <w:rPr>
      <w:rFonts w:eastAsiaTheme="minorEastAsia"/>
      <w:b/>
    </w:rPr>
  </w:style>
  <w:style w:type="character" w:customStyle="1" w:styleId="Heading4Char">
    <w:name w:val="Heading 4 Char"/>
    <w:basedOn w:val="DefaultParagraphFont"/>
    <w:link w:val="Heading4"/>
    <w:uiPriority w:val="9"/>
    <w:rsid w:val="00AA4ADB"/>
    <w:rPr>
      <w:rFonts w:ascii="Cambria" w:eastAsiaTheme="majorEastAsia" w:hAnsi="Cambria" w:cstheme="majorBidi"/>
      <w:b/>
      <w:i/>
      <w:iCs/>
      <w:color w:val="000000" w:themeColor="text1"/>
      <w:sz w:val="24"/>
    </w:rPr>
  </w:style>
  <w:style w:type="character" w:customStyle="1" w:styleId="Heading5Char">
    <w:name w:val="Heading 5 Char"/>
    <w:basedOn w:val="DefaultParagraphFont"/>
    <w:link w:val="Heading5"/>
    <w:uiPriority w:val="9"/>
    <w:semiHidden/>
    <w:rsid w:val="001E0122"/>
    <w:rPr>
      <w:rFonts w:ascii="Cambria" w:eastAsiaTheme="majorEastAsia" w:hAnsi="Cambria" w:cstheme="majorBidi"/>
      <w:color w:val="262626" w:themeColor="text1" w:themeTint="D9"/>
      <w:sz w:val="24"/>
    </w:rPr>
  </w:style>
  <w:style w:type="paragraph" w:styleId="Subtitle">
    <w:name w:val="Subtitle"/>
    <w:basedOn w:val="Normal"/>
    <w:next w:val="Normal"/>
    <w:link w:val="SubtitleChar"/>
    <w:uiPriority w:val="11"/>
    <w:qFormat/>
    <w:rsid w:val="001E012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E0122"/>
    <w:rPr>
      <w:rFonts w:eastAsiaTheme="minorEastAsia"/>
      <w:color w:val="5A5A5A" w:themeColor="text1" w:themeTint="A5"/>
      <w:spacing w:val="15"/>
    </w:rPr>
  </w:style>
  <w:style w:type="character" w:styleId="Emphasis">
    <w:name w:val="Emphasis"/>
    <w:basedOn w:val="DefaultParagraphFont"/>
    <w:uiPriority w:val="20"/>
    <w:qFormat/>
    <w:rsid w:val="001E0122"/>
    <w:rPr>
      <w:i/>
      <w:iCs/>
    </w:rPr>
  </w:style>
  <w:style w:type="paragraph" w:styleId="NoSpacing">
    <w:name w:val="No Spacing"/>
    <w:uiPriority w:val="1"/>
    <w:qFormat/>
    <w:rsid w:val="001E0122"/>
    <w:pPr>
      <w:spacing w:after="0" w:line="240" w:lineRule="auto"/>
    </w:pPr>
    <w:rPr>
      <w:rFonts w:eastAsiaTheme="minorEastAsia"/>
    </w:rPr>
  </w:style>
  <w:style w:type="paragraph" w:styleId="Quote">
    <w:name w:val="Quote"/>
    <w:basedOn w:val="Normal"/>
    <w:next w:val="Normal"/>
    <w:link w:val="QuoteChar"/>
    <w:uiPriority w:val="29"/>
    <w:qFormat/>
    <w:rsid w:val="001E012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E0122"/>
    <w:rPr>
      <w:rFonts w:eastAsiaTheme="minorEastAsia"/>
      <w:i/>
      <w:iCs/>
      <w:color w:val="404040" w:themeColor="text1" w:themeTint="BF"/>
    </w:rPr>
  </w:style>
  <w:style w:type="paragraph" w:styleId="IntenseQuote">
    <w:name w:val="Intense Quote"/>
    <w:basedOn w:val="Normal"/>
    <w:next w:val="Normal"/>
    <w:link w:val="IntenseQuoteChar"/>
    <w:uiPriority w:val="30"/>
    <w:qFormat/>
    <w:rsid w:val="001E0122"/>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1E0122"/>
    <w:rPr>
      <w:rFonts w:eastAsiaTheme="minorEastAsia"/>
      <w:i/>
      <w:iCs/>
      <w:color w:val="000000" w:themeColor="text1"/>
    </w:rPr>
  </w:style>
  <w:style w:type="character" w:styleId="SubtleEmphasis">
    <w:name w:val="Subtle Emphasis"/>
    <w:basedOn w:val="DefaultParagraphFont"/>
    <w:uiPriority w:val="19"/>
    <w:qFormat/>
    <w:rsid w:val="001E0122"/>
    <w:rPr>
      <w:i/>
      <w:iCs/>
      <w:color w:val="404040" w:themeColor="text1" w:themeTint="BF"/>
    </w:rPr>
  </w:style>
  <w:style w:type="character" w:styleId="IntenseEmphasis">
    <w:name w:val="Intense Emphasis"/>
    <w:basedOn w:val="BookTitle"/>
    <w:uiPriority w:val="21"/>
    <w:qFormat/>
    <w:rsid w:val="001E0122"/>
    <w:rPr>
      <w:b/>
      <w:bCs/>
      <w:i/>
      <w:iCs/>
      <w:spacing w:val="5"/>
    </w:rPr>
  </w:style>
  <w:style w:type="character" w:styleId="BookTitle">
    <w:name w:val="Book Title"/>
    <w:basedOn w:val="DefaultParagraphFont"/>
    <w:uiPriority w:val="33"/>
    <w:qFormat/>
    <w:rsid w:val="001E0122"/>
    <w:rPr>
      <w:b/>
      <w:bCs/>
      <w:i/>
      <w:iCs/>
      <w:spacing w:val="5"/>
    </w:rPr>
  </w:style>
  <w:style w:type="character" w:styleId="SubtleReference">
    <w:name w:val="Subtle Reference"/>
    <w:basedOn w:val="DefaultParagraphFont"/>
    <w:uiPriority w:val="31"/>
    <w:qFormat/>
    <w:rsid w:val="001E0122"/>
    <w:rPr>
      <w:smallCaps/>
      <w:color w:val="5A5A5A" w:themeColor="text1" w:themeTint="A5"/>
    </w:rPr>
  </w:style>
  <w:style w:type="character" w:styleId="IntenseReference">
    <w:name w:val="Intense Reference"/>
    <w:basedOn w:val="DefaultParagraphFont"/>
    <w:uiPriority w:val="32"/>
    <w:qFormat/>
    <w:rsid w:val="001E0122"/>
    <w:rPr>
      <w:b/>
      <w:bCs/>
      <w:smallCaps/>
      <w:color w:val="auto"/>
      <w:spacing w:val="5"/>
    </w:rPr>
  </w:style>
  <w:style w:type="character" w:customStyle="1" w:styleId="apple-converted-space">
    <w:name w:val="apple-converted-space"/>
    <w:basedOn w:val="DefaultParagraphFont"/>
    <w:rsid w:val="00F31290"/>
  </w:style>
  <w:style w:type="table" w:styleId="PlainTable4">
    <w:name w:val="Plain Table 4"/>
    <w:basedOn w:val="TableNormal"/>
    <w:uiPriority w:val="44"/>
    <w:rsid w:val="00FF32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8389">
      <w:bodyDiv w:val="1"/>
      <w:marLeft w:val="0"/>
      <w:marRight w:val="0"/>
      <w:marTop w:val="0"/>
      <w:marBottom w:val="0"/>
      <w:divBdr>
        <w:top w:val="none" w:sz="0" w:space="0" w:color="auto"/>
        <w:left w:val="none" w:sz="0" w:space="0" w:color="auto"/>
        <w:bottom w:val="none" w:sz="0" w:space="0" w:color="auto"/>
        <w:right w:val="none" w:sz="0" w:space="0" w:color="auto"/>
      </w:divBdr>
    </w:div>
    <w:div w:id="635840842">
      <w:bodyDiv w:val="1"/>
      <w:marLeft w:val="0"/>
      <w:marRight w:val="0"/>
      <w:marTop w:val="0"/>
      <w:marBottom w:val="0"/>
      <w:divBdr>
        <w:top w:val="none" w:sz="0" w:space="0" w:color="auto"/>
        <w:left w:val="none" w:sz="0" w:space="0" w:color="auto"/>
        <w:bottom w:val="none" w:sz="0" w:space="0" w:color="auto"/>
        <w:right w:val="none" w:sz="0" w:space="0" w:color="auto"/>
      </w:divBdr>
    </w:div>
    <w:div w:id="681392561">
      <w:bodyDiv w:val="1"/>
      <w:marLeft w:val="0"/>
      <w:marRight w:val="0"/>
      <w:marTop w:val="0"/>
      <w:marBottom w:val="0"/>
      <w:divBdr>
        <w:top w:val="none" w:sz="0" w:space="0" w:color="auto"/>
        <w:left w:val="none" w:sz="0" w:space="0" w:color="auto"/>
        <w:bottom w:val="none" w:sz="0" w:space="0" w:color="auto"/>
        <w:right w:val="none" w:sz="0" w:space="0" w:color="auto"/>
      </w:divBdr>
    </w:div>
    <w:div w:id="730345431">
      <w:bodyDiv w:val="1"/>
      <w:marLeft w:val="0"/>
      <w:marRight w:val="0"/>
      <w:marTop w:val="0"/>
      <w:marBottom w:val="0"/>
      <w:divBdr>
        <w:top w:val="none" w:sz="0" w:space="0" w:color="auto"/>
        <w:left w:val="none" w:sz="0" w:space="0" w:color="auto"/>
        <w:bottom w:val="none" w:sz="0" w:space="0" w:color="auto"/>
        <w:right w:val="none" w:sz="0" w:space="0" w:color="auto"/>
      </w:divBdr>
    </w:div>
    <w:div w:id="1038630801">
      <w:bodyDiv w:val="1"/>
      <w:marLeft w:val="0"/>
      <w:marRight w:val="0"/>
      <w:marTop w:val="0"/>
      <w:marBottom w:val="0"/>
      <w:divBdr>
        <w:top w:val="none" w:sz="0" w:space="0" w:color="auto"/>
        <w:left w:val="none" w:sz="0" w:space="0" w:color="auto"/>
        <w:bottom w:val="none" w:sz="0" w:space="0" w:color="auto"/>
        <w:right w:val="none" w:sz="0" w:space="0" w:color="auto"/>
      </w:divBdr>
    </w:div>
    <w:div w:id="1049499092">
      <w:bodyDiv w:val="1"/>
      <w:marLeft w:val="0"/>
      <w:marRight w:val="0"/>
      <w:marTop w:val="0"/>
      <w:marBottom w:val="0"/>
      <w:divBdr>
        <w:top w:val="none" w:sz="0" w:space="0" w:color="auto"/>
        <w:left w:val="none" w:sz="0" w:space="0" w:color="auto"/>
        <w:bottom w:val="none" w:sz="0" w:space="0" w:color="auto"/>
        <w:right w:val="none" w:sz="0" w:space="0" w:color="auto"/>
      </w:divBdr>
    </w:div>
    <w:div w:id="1141537676">
      <w:bodyDiv w:val="1"/>
      <w:marLeft w:val="0"/>
      <w:marRight w:val="0"/>
      <w:marTop w:val="0"/>
      <w:marBottom w:val="0"/>
      <w:divBdr>
        <w:top w:val="none" w:sz="0" w:space="0" w:color="auto"/>
        <w:left w:val="none" w:sz="0" w:space="0" w:color="auto"/>
        <w:bottom w:val="none" w:sz="0" w:space="0" w:color="auto"/>
        <w:right w:val="none" w:sz="0" w:space="0" w:color="auto"/>
      </w:divBdr>
    </w:div>
    <w:div w:id="2024822166">
      <w:bodyDiv w:val="1"/>
      <w:marLeft w:val="0"/>
      <w:marRight w:val="0"/>
      <w:marTop w:val="0"/>
      <w:marBottom w:val="0"/>
      <w:divBdr>
        <w:top w:val="none" w:sz="0" w:space="0" w:color="auto"/>
        <w:left w:val="none" w:sz="0" w:space="0" w:color="auto"/>
        <w:bottom w:val="none" w:sz="0" w:space="0" w:color="auto"/>
        <w:right w:val="none" w:sz="0" w:space="0" w:color="auto"/>
      </w:divBdr>
    </w:div>
    <w:div w:id="20325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tc.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dtc.edu/human-resources/title-i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tc.edu/search?q=student%20code%20of%20condu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dtc.edu/search?q=student%20code%20of%20conduct" TargetMode="External"/><Relationship Id="rId4" Type="http://schemas.openxmlformats.org/officeDocument/2006/relationships/settings" Target="settings.xml"/><Relationship Id="rId9" Type="http://schemas.openxmlformats.org/officeDocument/2006/relationships/hyperlink" Target="https://www.fdtc.edu/search?q=student%20code%20of%20conduc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deed.en_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84339A-92A1-40D9-A30B-0CD780A40E0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8CA3-714C-4245-AF52-2F592F86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8856</CharactersWithSpaces>
  <SharedDoc>false</SharedDoc>
  <HLinks>
    <vt:vector size="12" baseType="variant">
      <vt:variant>
        <vt:i4>5439566</vt:i4>
      </vt:variant>
      <vt:variant>
        <vt:i4>3</vt:i4>
      </vt:variant>
      <vt:variant>
        <vt:i4>0</vt:i4>
      </vt:variant>
      <vt:variant>
        <vt:i4>5</vt:i4>
      </vt:variant>
      <vt:variant>
        <vt:lpwstr>http://www.swic.edu/publicsafety</vt:lpwstr>
      </vt:variant>
      <vt:variant>
        <vt:lpwstr/>
      </vt:variant>
      <vt:variant>
        <vt:i4>5505108</vt:i4>
      </vt:variant>
      <vt:variant>
        <vt:i4>0</vt:i4>
      </vt:variant>
      <vt:variant>
        <vt:i4>0</vt:i4>
      </vt:variant>
      <vt:variant>
        <vt:i4>5</vt:i4>
      </vt:variant>
      <vt:variant>
        <vt:lpwstr>http://www.swic.edu/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2017-06-08T14:55:00Z</dcterms:created>
  <dcterms:modified xsi:type="dcterms:W3CDTF">2017-07-06T17:45:00Z</dcterms:modified>
</cp:coreProperties>
</file>