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D" w:rsidRDefault="008A24DD" w:rsidP="00DE5E20">
      <w:pPr>
        <w:pStyle w:val="Heading1"/>
        <w:spacing w:before="0" w:line="240" w:lineRule="auto"/>
        <w:jc w:val="center"/>
      </w:pPr>
      <w:r>
        <w:t xml:space="preserve">Tentative </w:t>
      </w:r>
      <w:r w:rsidR="00A7646C">
        <w:t>Course</w:t>
      </w:r>
      <w:r w:rsidR="004C28E2">
        <w:t xml:space="preserve"> </w:t>
      </w:r>
      <w:r w:rsidR="0098585F">
        <w:t>Schedule</w:t>
      </w:r>
      <w:r w:rsidR="006B5EA3">
        <w:t xml:space="preserve"> for </w:t>
      </w:r>
      <w:r w:rsidR="00A85860" w:rsidRPr="00196EC0">
        <w:t xml:space="preserve">BIO </w:t>
      </w:r>
      <w:r w:rsidR="00740009">
        <w:t>168</w:t>
      </w:r>
    </w:p>
    <w:p w:rsidR="006B5EA3" w:rsidRPr="00DE5E20" w:rsidRDefault="008A24DD" w:rsidP="00DE5E20">
      <w:pPr>
        <w:pStyle w:val="Heading2"/>
        <w:spacing w:before="0"/>
        <w:jc w:val="center"/>
        <w:rPr>
          <w:rStyle w:val="Emphasis"/>
        </w:rPr>
      </w:pPr>
      <w:r w:rsidRPr="00DE5E20">
        <w:rPr>
          <w:rStyle w:val="Emphasis"/>
        </w:rPr>
        <w:t>Subject to change at the discretion of the instructor</w:t>
      </w:r>
    </w:p>
    <w:p w:rsidR="008523B6" w:rsidRPr="00DE5E20" w:rsidRDefault="004D2BA9" w:rsidP="00DE5E20">
      <w:pPr>
        <w:spacing w:before="120" w:line="240" w:lineRule="auto"/>
        <w:jc w:val="center"/>
        <w:rPr>
          <w:rStyle w:val="Emphasis"/>
        </w:rPr>
      </w:pPr>
      <w:r w:rsidRPr="00DE5E20">
        <w:rPr>
          <w:rStyle w:val="Emphasis"/>
        </w:rPr>
        <w:t xml:space="preserve">Refer to </w:t>
      </w:r>
      <w:r w:rsidRPr="00DE5E20">
        <w:rPr>
          <w:rStyle w:val="IntenseEmphasis"/>
        </w:rPr>
        <w:t>McGraw Hill Connect</w:t>
      </w:r>
      <w:r w:rsidRPr="00DE5E20">
        <w:rPr>
          <w:rStyle w:val="Emphasis"/>
        </w:rPr>
        <w:t xml:space="preserve"> </w:t>
      </w:r>
      <w:r w:rsidR="00AB2E67" w:rsidRPr="00DE5E20">
        <w:rPr>
          <w:rStyle w:val="Emphasis"/>
        </w:rPr>
        <w:t>W</w:t>
      </w:r>
      <w:r w:rsidR="00DE5E20">
        <w:rPr>
          <w:rStyle w:val="Emphasis"/>
        </w:rPr>
        <w:t>ebsite for Connect Assignment S</w:t>
      </w:r>
      <w:r w:rsidRPr="00DE5E20">
        <w:rPr>
          <w:rStyle w:val="Emphasis"/>
        </w:rPr>
        <w:t>chedule.</w:t>
      </w:r>
      <w:r w:rsidR="00DD52EC" w:rsidRPr="00DE5E20">
        <w:rPr>
          <w:rStyle w:val="Emphasis"/>
        </w:rPr>
        <w:t xml:space="preserve"> Please visit</w:t>
      </w:r>
      <w:r w:rsidR="0032413B" w:rsidRPr="00DE5E20">
        <w:rPr>
          <w:rStyle w:val="Emphasis"/>
        </w:rPr>
        <w:t xml:space="preserve"> </w:t>
      </w:r>
      <w:r w:rsidR="0032413B" w:rsidRPr="00DE5E20">
        <w:rPr>
          <w:rStyle w:val="IntenseEmphasis"/>
        </w:rPr>
        <w:t>T</w:t>
      </w:r>
      <w:r w:rsidR="00DD52EC" w:rsidRPr="00DE5E20">
        <w:rPr>
          <w:rStyle w:val="IntenseEmphasis"/>
        </w:rPr>
        <w:t>he Cube</w:t>
      </w:r>
      <w:r w:rsidR="00DD52EC" w:rsidRPr="00DE5E20">
        <w:rPr>
          <w:rStyle w:val="Emphasis"/>
        </w:rPr>
        <w:t xml:space="preserve"> a</w:t>
      </w:r>
      <w:r w:rsidR="00DE5E20">
        <w:rPr>
          <w:rStyle w:val="Emphasis"/>
        </w:rPr>
        <w:t xml:space="preserve">long with </w:t>
      </w:r>
      <w:r w:rsidR="002954D3">
        <w:rPr>
          <w:rStyle w:val="Emphasis"/>
        </w:rPr>
        <w:t>our</w:t>
      </w:r>
      <w:r w:rsidR="00DE5E20">
        <w:rPr>
          <w:rStyle w:val="Emphasis"/>
        </w:rPr>
        <w:t xml:space="preserve"> department tutor </w:t>
      </w:r>
      <w:r w:rsidR="00DD52EC" w:rsidRPr="00DE5E20">
        <w:rPr>
          <w:rStyle w:val="Emphasis"/>
        </w:rPr>
        <w:t xml:space="preserve">for tutoring and open lab. </w:t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Tentative Course Schedule Spring 2017"/>
        <w:tblDescription w:val="This document includes weekly dates and topics for lecture and lab. "/>
      </w:tblPr>
      <w:tblGrid>
        <w:gridCol w:w="1525"/>
        <w:gridCol w:w="4320"/>
        <w:gridCol w:w="3505"/>
      </w:tblGrid>
      <w:tr w:rsidR="004D52BB" w:rsidTr="00DE5E20">
        <w:trPr>
          <w:tblHeader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F9D" w:rsidRPr="00DE5E20" w:rsidRDefault="00DE5E20" w:rsidP="00DE5E20">
            <w:pPr>
              <w:pStyle w:val="Heading3"/>
              <w:outlineLvl w:val="2"/>
            </w:pPr>
            <w:bookmarkStart w:id="0" w:name="_GoBack" w:colFirst="0" w:colLast="0"/>
            <w:r w:rsidRPr="00DE5E20">
              <w:t>Week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F9D" w:rsidRPr="00DE5E20" w:rsidRDefault="00AB2E67" w:rsidP="00DE5E20">
            <w:pPr>
              <w:pStyle w:val="Heading3"/>
              <w:outlineLvl w:val="2"/>
            </w:pPr>
            <w:r w:rsidRPr="00DE5E20">
              <w:t xml:space="preserve">Lecture </w:t>
            </w:r>
            <w:r w:rsidR="00DE5E20" w:rsidRPr="00DE5E20">
              <w:t>(</w:t>
            </w:r>
            <w:r w:rsidR="00D5458E" w:rsidRPr="00DE5E20">
              <w:t>Mon. &amp; Fri.</w:t>
            </w:r>
            <w:r w:rsidR="00DE5E20" w:rsidRPr="00DE5E20">
              <w:t xml:space="preserve"> in Room 709)</w:t>
            </w:r>
          </w:p>
        </w:tc>
        <w:tc>
          <w:tcPr>
            <w:tcW w:w="3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F9D" w:rsidRPr="00DE5E20" w:rsidRDefault="003A3968" w:rsidP="00DE5E20">
            <w:pPr>
              <w:pStyle w:val="Heading3"/>
              <w:outlineLvl w:val="2"/>
            </w:pPr>
            <w:r w:rsidRPr="00DE5E20">
              <w:t xml:space="preserve"> </w:t>
            </w:r>
            <w:r w:rsidR="00AB2E67" w:rsidRPr="00DE5E20">
              <w:t xml:space="preserve">Lab </w:t>
            </w:r>
            <w:r w:rsidR="00DE5E20" w:rsidRPr="00DE5E20">
              <w:t>(</w:t>
            </w:r>
            <w:r w:rsidR="00D5458E" w:rsidRPr="00DE5E20">
              <w:t>Wed.</w:t>
            </w:r>
            <w:r w:rsidR="00DE5E20" w:rsidRPr="00DE5E20">
              <w:t>)</w:t>
            </w:r>
            <w:r w:rsidR="00AB2E67" w:rsidRPr="00DE5E20">
              <w:t xml:space="preserve"> in Room 701.</w:t>
            </w:r>
          </w:p>
        </w:tc>
      </w:tr>
      <w:tr w:rsidR="00A85860" w:rsidTr="00DE5E20">
        <w:tc>
          <w:tcPr>
            <w:tcW w:w="1525" w:type="dxa"/>
            <w:tcBorders>
              <w:top w:val="single" w:sz="12" w:space="0" w:color="auto"/>
            </w:tcBorders>
          </w:tcPr>
          <w:p w:rsidR="00A85860" w:rsidRPr="00C31102" w:rsidRDefault="00866A05" w:rsidP="00DE5E20">
            <w:pPr>
              <w:jc w:val="center"/>
            </w:pPr>
            <w:r>
              <w:t>Week of January 9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:rsidR="00CF1A85" w:rsidRPr="00C31102" w:rsidRDefault="00CF1A85" w:rsidP="00AB2E67">
            <w:r>
              <w:t>Syllabus</w:t>
            </w:r>
            <w:r w:rsidR="00866A05">
              <w:t xml:space="preserve"> and Chapter 1</w:t>
            </w:r>
            <w:r>
              <w:t xml:space="preserve"> </w:t>
            </w:r>
            <w:r w:rsidR="00866A05">
              <w:t>– Introduction to A</w:t>
            </w:r>
            <w:r w:rsidR="00AB2E67">
              <w:t>natomy and Physiology</w:t>
            </w:r>
            <w:r w:rsidR="00EA7AC3">
              <w:t>.</w:t>
            </w:r>
          </w:p>
        </w:tc>
        <w:tc>
          <w:tcPr>
            <w:tcW w:w="3505" w:type="dxa"/>
            <w:tcBorders>
              <w:top w:val="single" w:sz="12" w:space="0" w:color="auto"/>
            </w:tcBorders>
          </w:tcPr>
          <w:p w:rsidR="000F55E0" w:rsidRPr="00C31102" w:rsidRDefault="003A3968" w:rsidP="00AF6998">
            <w:r>
              <w:t xml:space="preserve"> </w:t>
            </w:r>
            <w:r w:rsidR="00866A05">
              <w:t>Lab 1 – Organ Systems</w:t>
            </w:r>
            <w:r w:rsidR="00AF6998">
              <w:t xml:space="preserve">, </w:t>
            </w:r>
            <w:r w:rsidR="00E20FB4">
              <w:t>Directional Terms</w:t>
            </w:r>
            <w:r w:rsidR="00AF6998">
              <w:t>, Pig Dissection.</w:t>
            </w:r>
            <w:r w:rsidR="003E6EA7">
              <w:t xml:space="preserve"> </w:t>
            </w:r>
          </w:p>
        </w:tc>
      </w:tr>
      <w:tr w:rsidR="00A85860" w:rsidTr="00DE5E20">
        <w:tc>
          <w:tcPr>
            <w:tcW w:w="1525" w:type="dxa"/>
            <w:shd w:val="clear" w:color="auto" w:fill="D9D9D9" w:themeFill="background1" w:themeFillShade="D9"/>
          </w:tcPr>
          <w:p w:rsidR="00A85860" w:rsidRPr="00C31102" w:rsidRDefault="00866A05" w:rsidP="00DE5E20">
            <w:pPr>
              <w:jc w:val="center"/>
            </w:pPr>
            <w:r>
              <w:t>Week of January 16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866A05" w:rsidRPr="00DE5E20" w:rsidRDefault="00C754DA" w:rsidP="00B87BB6">
            <w:pPr>
              <w:rPr>
                <w:rStyle w:val="Strong"/>
              </w:rPr>
            </w:pPr>
            <w:r w:rsidRPr="00DE5E20">
              <w:rPr>
                <w:rStyle w:val="Strong"/>
              </w:rPr>
              <w:t xml:space="preserve">Holiday - </w:t>
            </w:r>
            <w:r w:rsidR="00866A05" w:rsidRPr="00DE5E20">
              <w:rPr>
                <w:rStyle w:val="Strong"/>
              </w:rPr>
              <w:t>Monday January 16</w:t>
            </w:r>
            <w:r w:rsidR="00EA7AC3" w:rsidRPr="00DE5E20">
              <w:rPr>
                <w:rStyle w:val="Strong"/>
              </w:rPr>
              <w:t>.</w:t>
            </w:r>
          </w:p>
          <w:p w:rsidR="00CB6997" w:rsidRPr="00CF1A85" w:rsidRDefault="00C754DA" w:rsidP="00B87BB6">
            <w:r>
              <w:t xml:space="preserve">Chapter 2 – Chemistry. 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4D2BA9" w:rsidRPr="00C31102" w:rsidRDefault="003A3968" w:rsidP="00D5458E">
            <w:r>
              <w:t xml:space="preserve"> </w:t>
            </w:r>
            <w:r w:rsidR="0032413B">
              <w:t>Lab 2 – p</w:t>
            </w:r>
            <w:r w:rsidR="004D2BA9">
              <w:t xml:space="preserve">H and </w:t>
            </w:r>
            <w:r w:rsidR="00D5458E">
              <w:t>Enzyme</w:t>
            </w:r>
            <w:r w:rsidR="00AF6998">
              <w:t xml:space="preserve"> Lab.</w:t>
            </w:r>
            <w:r w:rsidR="003E6EA7">
              <w:t xml:space="preserve"> </w:t>
            </w:r>
          </w:p>
        </w:tc>
      </w:tr>
      <w:tr w:rsidR="00A85860" w:rsidTr="00DE5E20">
        <w:trPr>
          <w:trHeight w:val="53"/>
        </w:trPr>
        <w:tc>
          <w:tcPr>
            <w:tcW w:w="1525" w:type="dxa"/>
          </w:tcPr>
          <w:p w:rsidR="00A85860" w:rsidRPr="00C31102" w:rsidRDefault="00F200EB" w:rsidP="00DE5E20">
            <w:pPr>
              <w:jc w:val="center"/>
            </w:pPr>
            <w:r>
              <w:t>Week of January 23</w:t>
            </w:r>
          </w:p>
        </w:tc>
        <w:tc>
          <w:tcPr>
            <w:tcW w:w="4320" w:type="dxa"/>
          </w:tcPr>
          <w:p w:rsidR="00A85860" w:rsidRPr="003D1955" w:rsidRDefault="003D1955" w:rsidP="00F200EB">
            <w:r>
              <w:t>Chapter 2</w:t>
            </w:r>
            <w:r w:rsidR="00F200EB">
              <w:t xml:space="preserve"> – Chemistry and Chapter 3 – Energy</w:t>
            </w:r>
            <w:r w:rsidR="00EA7AC3">
              <w:t>.</w:t>
            </w:r>
            <w:r w:rsidR="00F200EB">
              <w:t xml:space="preserve"> </w:t>
            </w:r>
          </w:p>
        </w:tc>
        <w:tc>
          <w:tcPr>
            <w:tcW w:w="3505" w:type="dxa"/>
          </w:tcPr>
          <w:p w:rsidR="00A85860" w:rsidRPr="00F200EB" w:rsidRDefault="003A3968" w:rsidP="00E21088">
            <w:r>
              <w:t xml:space="preserve"> </w:t>
            </w:r>
            <w:r w:rsidR="00F200EB" w:rsidRPr="00F200EB">
              <w:t>Lab 3 – Diffusion and Osmosis</w:t>
            </w:r>
            <w:r w:rsidR="00AF6998">
              <w:t>.</w:t>
            </w:r>
            <w:r w:rsidR="003E6EA7">
              <w:t xml:space="preserve"> </w:t>
            </w:r>
          </w:p>
        </w:tc>
      </w:tr>
      <w:tr w:rsidR="00EC1F26" w:rsidTr="00DE5E20">
        <w:tc>
          <w:tcPr>
            <w:tcW w:w="1525" w:type="dxa"/>
            <w:shd w:val="clear" w:color="auto" w:fill="D9D9D9" w:themeFill="background1" w:themeFillShade="D9"/>
          </w:tcPr>
          <w:p w:rsidR="00EC1F26" w:rsidRDefault="00F200EB" w:rsidP="00DE5E20">
            <w:pPr>
              <w:jc w:val="center"/>
            </w:pPr>
            <w:r>
              <w:t>Week of January 30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EC1F26" w:rsidRPr="00E20FB4" w:rsidRDefault="00FB0268" w:rsidP="00EC1F26">
            <w:pPr>
              <w:rPr>
                <w:b/>
              </w:rPr>
            </w:pPr>
            <w:r>
              <w:t>Chapter 4 – Cells.</w:t>
            </w:r>
          </w:p>
          <w:p w:rsidR="007A2429" w:rsidRDefault="007A2429" w:rsidP="00E20FB4"/>
        </w:tc>
        <w:tc>
          <w:tcPr>
            <w:tcW w:w="3505" w:type="dxa"/>
            <w:shd w:val="clear" w:color="auto" w:fill="D9D9D9" w:themeFill="background1" w:themeFillShade="D9"/>
          </w:tcPr>
          <w:p w:rsidR="00EC1F26" w:rsidRPr="00C31102" w:rsidRDefault="003A3968" w:rsidP="00EC1F26">
            <w:r>
              <w:t xml:space="preserve"> </w:t>
            </w:r>
            <w:r w:rsidR="00F200EB">
              <w:t xml:space="preserve">Lab 4 – </w:t>
            </w:r>
            <w:r w:rsidR="00493F2C">
              <w:t>Microscope/</w:t>
            </w:r>
            <w:r w:rsidR="00AF6998">
              <w:t>Tissue Identification.</w:t>
            </w:r>
            <w:r w:rsidR="003E6EA7">
              <w:t xml:space="preserve"> </w:t>
            </w:r>
          </w:p>
        </w:tc>
      </w:tr>
      <w:tr w:rsidR="00EC1F26" w:rsidTr="00DE5E20">
        <w:tc>
          <w:tcPr>
            <w:tcW w:w="1525" w:type="dxa"/>
          </w:tcPr>
          <w:p w:rsidR="00EC1F26" w:rsidRPr="00C31102" w:rsidRDefault="00F200EB" w:rsidP="00DE5E20">
            <w:pPr>
              <w:jc w:val="center"/>
            </w:pPr>
            <w:r>
              <w:t xml:space="preserve">Week of February </w:t>
            </w:r>
            <w:r w:rsidR="002C211B">
              <w:t>6</w:t>
            </w:r>
          </w:p>
        </w:tc>
        <w:tc>
          <w:tcPr>
            <w:tcW w:w="4320" w:type="dxa"/>
          </w:tcPr>
          <w:p w:rsidR="00FB0268" w:rsidRPr="00DE5E20" w:rsidRDefault="00FB0268" w:rsidP="007A2429">
            <w:pPr>
              <w:rPr>
                <w:rStyle w:val="Strong"/>
              </w:rPr>
            </w:pPr>
            <w:r w:rsidRPr="00DE5E20">
              <w:rPr>
                <w:rStyle w:val="IntenseEmphasis"/>
              </w:rPr>
              <w:t>Unit 1 Exam</w:t>
            </w:r>
            <w:r w:rsidRPr="00DE5E20">
              <w:rPr>
                <w:rStyle w:val="Strong"/>
              </w:rPr>
              <w:t xml:space="preserve"> – Chapters 1, 2, 3 and 4. </w:t>
            </w:r>
          </w:p>
          <w:p w:rsidR="00EC1F26" w:rsidRPr="00C31102" w:rsidRDefault="00FB0268" w:rsidP="007A2429">
            <w:r>
              <w:t>Chapter 5 – Tissues.</w:t>
            </w:r>
          </w:p>
        </w:tc>
        <w:tc>
          <w:tcPr>
            <w:tcW w:w="3505" w:type="dxa"/>
          </w:tcPr>
          <w:p w:rsidR="00EC1F26" w:rsidRPr="00C31102" w:rsidRDefault="003A3968" w:rsidP="00676A50">
            <w:r>
              <w:t xml:space="preserve"> </w:t>
            </w:r>
            <w:r w:rsidR="00676A50">
              <w:t>Lab Review</w:t>
            </w:r>
            <w:r w:rsidR="003A37FD">
              <w:t xml:space="preserve">. </w:t>
            </w:r>
          </w:p>
        </w:tc>
      </w:tr>
      <w:tr w:rsidR="00EC1F26" w:rsidTr="00DE5E20">
        <w:tc>
          <w:tcPr>
            <w:tcW w:w="1525" w:type="dxa"/>
            <w:shd w:val="clear" w:color="auto" w:fill="D9D9D9" w:themeFill="background1" w:themeFillShade="D9"/>
          </w:tcPr>
          <w:p w:rsidR="00EC1F26" w:rsidRPr="00C31102" w:rsidRDefault="00DE5E20" w:rsidP="00DE5E20">
            <w:pPr>
              <w:jc w:val="center"/>
            </w:pPr>
            <w:r>
              <w:t>Week of February 13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EC1F26" w:rsidRPr="00C31102" w:rsidRDefault="00FB0268" w:rsidP="00EC1F26">
            <w:r>
              <w:t>Chapter 12 – Nervous Tissue.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EC1F26" w:rsidRPr="00DE5E20" w:rsidRDefault="003A3968" w:rsidP="00493F2C">
            <w:pPr>
              <w:rPr>
                <w:rStyle w:val="IntenseEmphasis"/>
              </w:rPr>
            </w:pPr>
            <w:r>
              <w:t xml:space="preserve"> </w:t>
            </w:r>
            <w:r w:rsidR="00493F2C" w:rsidRPr="00DE5E20">
              <w:rPr>
                <w:rStyle w:val="IntenseEmphasis"/>
              </w:rPr>
              <w:t>Lab Exam #1</w:t>
            </w:r>
            <w:r w:rsidR="00551255" w:rsidRPr="00DE5E20">
              <w:rPr>
                <w:rStyle w:val="IntenseEmphasis"/>
              </w:rPr>
              <w:t>.</w:t>
            </w:r>
            <w:r w:rsidR="003E6EA7" w:rsidRPr="00DE5E20">
              <w:rPr>
                <w:rStyle w:val="IntenseEmphasis"/>
              </w:rPr>
              <w:t xml:space="preserve"> </w:t>
            </w:r>
          </w:p>
        </w:tc>
      </w:tr>
      <w:tr w:rsidR="00EC1F26" w:rsidTr="00DE5E20">
        <w:tc>
          <w:tcPr>
            <w:tcW w:w="1525" w:type="dxa"/>
          </w:tcPr>
          <w:p w:rsidR="00EC1F26" w:rsidRPr="00C31102" w:rsidRDefault="00DE5E20" w:rsidP="00DE5E20">
            <w:pPr>
              <w:jc w:val="center"/>
            </w:pPr>
            <w:r>
              <w:t>Week of February 20</w:t>
            </w:r>
          </w:p>
        </w:tc>
        <w:tc>
          <w:tcPr>
            <w:tcW w:w="4320" w:type="dxa"/>
          </w:tcPr>
          <w:p w:rsidR="00EC1F26" w:rsidRPr="00C31102" w:rsidRDefault="00FB0268" w:rsidP="007A2429">
            <w:r>
              <w:t>Chapter 13 – The Brain and Cranial Nerves.</w:t>
            </w:r>
          </w:p>
        </w:tc>
        <w:tc>
          <w:tcPr>
            <w:tcW w:w="3505" w:type="dxa"/>
          </w:tcPr>
          <w:p w:rsidR="00D73D02" w:rsidRPr="00C31102" w:rsidRDefault="003A3968" w:rsidP="00676A50">
            <w:r>
              <w:t xml:space="preserve"> </w:t>
            </w:r>
            <w:r w:rsidR="003A37FD">
              <w:t>Lab 5</w:t>
            </w:r>
            <w:r w:rsidR="007A2429">
              <w:t xml:space="preserve"> – </w:t>
            </w:r>
            <w:r w:rsidR="00676A50">
              <w:t xml:space="preserve">Sheep Brain and Eye and Cranial Nerves. </w:t>
            </w:r>
          </w:p>
        </w:tc>
      </w:tr>
      <w:tr w:rsidR="00EC1F26" w:rsidTr="00DE5E20">
        <w:tc>
          <w:tcPr>
            <w:tcW w:w="1525" w:type="dxa"/>
            <w:shd w:val="clear" w:color="auto" w:fill="D9D9D9" w:themeFill="background1" w:themeFillShade="D9"/>
          </w:tcPr>
          <w:p w:rsidR="00EC1F26" w:rsidRPr="00C31102" w:rsidRDefault="007A2429" w:rsidP="00DE5E20">
            <w:pPr>
              <w:jc w:val="center"/>
            </w:pPr>
            <w:r>
              <w:t>Week of February 27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A2429" w:rsidRPr="00E20FB4" w:rsidRDefault="00676A50" w:rsidP="00EC1F26">
            <w:pPr>
              <w:rPr>
                <w:b/>
              </w:rPr>
            </w:pPr>
            <w:r>
              <w:t xml:space="preserve">Chapter 14 – </w:t>
            </w:r>
            <w:r w:rsidR="00FB0268">
              <w:t>Spinal Cord and Spinal Nerves.</w:t>
            </w:r>
          </w:p>
          <w:p w:rsidR="00EC1F26" w:rsidRPr="002921BB" w:rsidRDefault="00EC1F26" w:rsidP="00EC1F26"/>
        </w:tc>
        <w:tc>
          <w:tcPr>
            <w:tcW w:w="3505" w:type="dxa"/>
            <w:shd w:val="clear" w:color="auto" w:fill="D9D9D9" w:themeFill="background1" w:themeFillShade="D9"/>
          </w:tcPr>
          <w:p w:rsidR="00EC1F26" w:rsidRDefault="003A3968" w:rsidP="00EC1F26">
            <w:r>
              <w:t xml:space="preserve"> </w:t>
            </w:r>
            <w:r w:rsidR="003A37FD">
              <w:t>Lab 6</w:t>
            </w:r>
            <w:r w:rsidR="00AF6998">
              <w:t xml:space="preserve"> – </w:t>
            </w:r>
            <w:r w:rsidR="00676A50">
              <w:t xml:space="preserve">Spinal Cord and Nerves. </w:t>
            </w:r>
          </w:p>
          <w:p w:rsidR="00E20FB4" w:rsidRPr="00B80B4D" w:rsidRDefault="00E20FB4" w:rsidP="00C754DA">
            <w:pPr>
              <w:rPr>
                <w:highlight w:val="yellow"/>
              </w:rPr>
            </w:pPr>
          </w:p>
        </w:tc>
      </w:tr>
      <w:tr w:rsidR="00EC1F26" w:rsidTr="00DE5E20">
        <w:tc>
          <w:tcPr>
            <w:tcW w:w="1525" w:type="dxa"/>
          </w:tcPr>
          <w:p w:rsidR="00EC1F26" w:rsidRDefault="007A2429" w:rsidP="00DE5E20">
            <w:pPr>
              <w:jc w:val="center"/>
            </w:pPr>
            <w:r>
              <w:t>Week of March 6</w:t>
            </w:r>
          </w:p>
        </w:tc>
        <w:tc>
          <w:tcPr>
            <w:tcW w:w="4320" w:type="dxa"/>
          </w:tcPr>
          <w:p w:rsidR="00C754DA" w:rsidRPr="00DE5E20" w:rsidRDefault="00E20FB4" w:rsidP="00C754DA">
            <w:pPr>
              <w:rPr>
                <w:rStyle w:val="Strong"/>
              </w:rPr>
            </w:pPr>
            <w:r w:rsidRPr="00DE5E20">
              <w:rPr>
                <w:rStyle w:val="Strong"/>
              </w:rPr>
              <w:t>Holiday</w:t>
            </w:r>
            <w:r w:rsidR="00C754DA" w:rsidRPr="00DE5E20">
              <w:rPr>
                <w:rStyle w:val="Strong"/>
              </w:rPr>
              <w:t xml:space="preserve"> - </w:t>
            </w:r>
            <w:r w:rsidRPr="00DE5E20">
              <w:rPr>
                <w:rStyle w:val="Strong"/>
              </w:rPr>
              <w:t>Wednesday through Friday</w:t>
            </w:r>
            <w:r w:rsidR="00C754DA" w:rsidRPr="00DE5E20">
              <w:rPr>
                <w:rStyle w:val="Strong"/>
              </w:rPr>
              <w:t xml:space="preserve"> - March</w:t>
            </w:r>
            <w:r w:rsidRPr="00DE5E20">
              <w:rPr>
                <w:rStyle w:val="Strong"/>
              </w:rPr>
              <w:t xml:space="preserve"> 8, 9 and 10.</w:t>
            </w:r>
            <w:r w:rsidR="00C754DA" w:rsidRPr="00DE5E20">
              <w:rPr>
                <w:rStyle w:val="Strong"/>
              </w:rPr>
              <w:t xml:space="preserve"> </w:t>
            </w:r>
          </w:p>
          <w:p w:rsidR="00EC1F26" w:rsidRPr="00C754DA" w:rsidRDefault="00FB0268" w:rsidP="00E20FB4">
            <w:r>
              <w:t>Chapter 15 – Autonomic Nervous System.</w:t>
            </w:r>
          </w:p>
        </w:tc>
        <w:tc>
          <w:tcPr>
            <w:tcW w:w="3505" w:type="dxa"/>
          </w:tcPr>
          <w:p w:rsidR="00C754DA" w:rsidRDefault="003A3968" w:rsidP="00676A50">
            <w:r>
              <w:t xml:space="preserve"> </w:t>
            </w:r>
            <w:r w:rsidR="003A37FD">
              <w:t>Lab 7</w:t>
            </w:r>
            <w:r w:rsidR="00676A50">
              <w:t xml:space="preserve"> – Muscle Identification.</w:t>
            </w:r>
          </w:p>
        </w:tc>
      </w:tr>
      <w:tr w:rsidR="00EC1F26" w:rsidTr="00DE5E20">
        <w:tc>
          <w:tcPr>
            <w:tcW w:w="1525" w:type="dxa"/>
            <w:shd w:val="clear" w:color="auto" w:fill="D9D9D9" w:themeFill="background1" w:themeFillShade="D9"/>
          </w:tcPr>
          <w:p w:rsidR="00EC1F26" w:rsidRPr="00B72397" w:rsidRDefault="00DE5E20" w:rsidP="00DE5E20">
            <w:pPr>
              <w:jc w:val="center"/>
            </w:pPr>
            <w:r>
              <w:t>Week of March 13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EC1F26" w:rsidRPr="00DE5E20" w:rsidRDefault="00FB0268" w:rsidP="00FB0268">
            <w:pPr>
              <w:rPr>
                <w:rStyle w:val="Strong"/>
              </w:rPr>
            </w:pPr>
            <w:r w:rsidRPr="00DE5E20">
              <w:rPr>
                <w:rStyle w:val="IntenseEmphasis"/>
              </w:rPr>
              <w:t>Unit 2 Exam</w:t>
            </w:r>
            <w:r w:rsidRPr="00DE5E20">
              <w:rPr>
                <w:rStyle w:val="Strong"/>
              </w:rPr>
              <w:t xml:space="preserve"> – Chapters 5, 12</w:t>
            </w:r>
            <w:r w:rsidR="00DE5E20" w:rsidRPr="00DE5E20">
              <w:rPr>
                <w:rStyle w:val="Strong"/>
              </w:rPr>
              <w:t>, 13, 14</w:t>
            </w:r>
            <w:r w:rsidRPr="00DE5E20">
              <w:rPr>
                <w:rStyle w:val="Strong"/>
              </w:rPr>
              <w:t>, and 15.</w:t>
            </w:r>
          </w:p>
          <w:p w:rsidR="00FB0268" w:rsidRPr="00FB0268" w:rsidRDefault="00FB0268" w:rsidP="00FB0268">
            <w:r>
              <w:t>Begin Chapter 10 – Skeletal Muscle Tissue.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EC1F26" w:rsidRPr="00E20FB4" w:rsidRDefault="00676A50" w:rsidP="00AF6998">
            <w:pPr>
              <w:rPr>
                <w:b/>
              </w:rPr>
            </w:pPr>
            <w:r>
              <w:t>Lab Review</w:t>
            </w:r>
            <w:r w:rsidR="003A37FD">
              <w:t xml:space="preserve">. </w:t>
            </w:r>
          </w:p>
        </w:tc>
      </w:tr>
      <w:tr w:rsidR="00E20FB4" w:rsidTr="00DE5E20">
        <w:tc>
          <w:tcPr>
            <w:tcW w:w="1525" w:type="dxa"/>
          </w:tcPr>
          <w:p w:rsidR="00E20FB4" w:rsidRDefault="00E20FB4" w:rsidP="00DE5E20">
            <w:pPr>
              <w:jc w:val="center"/>
            </w:pPr>
            <w:r>
              <w:t xml:space="preserve">Week of March </w:t>
            </w:r>
            <w:r w:rsidR="00DE5E20">
              <w:t>20</w:t>
            </w:r>
          </w:p>
        </w:tc>
        <w:tc>
          <w:tcPr>
            <w:tcW w:w="4320" w:type="dxa"/>
          </w:tcPr>
          <w:p w:rsidR="00676A50" w:rsidRPr="00DE5E20" w:rsidRDefault="00E20FB4" w:rsidP="00EC1F26">
            <w:pPr>
              <w:rPr>
                <w:rStyle w:val="Strong"/>
              </w:rPr>
            </w:pPr>
            <w:r w:rsidRPr="00DE5E20">
              <w:rPr>
                <w:rStyle w:val="Strong"/>
              </w:rPr>
              <w:t xml:space="preserve">Last Day to </w:t>
            </w:r>
            <w:r w:rsidR="00C754DA" w:rsidRPr="00DE5E20">
              <w:rPr>
                <w:rStyle w:val="Strong"/>
              </w:rPr>
              <w:t>Withdra</w:t>
            </w:r>
            <w:r w:rsidR="00C15F04" w:rsidRPr="00DE5E20">
              <w:rPr>
                <w:rStyle w:val="Strong"/>
              </w:rPr>
              <w:t xml:space="preserve">w – Wednesday </w:t>
            </w:r>
            <w:r w:rsidRPr="00DE5E20">
              <w:rPr>
                <w:rStyle w:val="Strong"/>
              </w:rPr>
              <w:t>March 22.</w:t>
            </w:r>
          </w:p>
          <w:p w:rsidR="00E20FB4" w:rsidRPr="00676A50" w:rsidRDefault="00FB0268" w:rsidP="00EC1F26">
            <w:pPr>
              <w:rPr>
                <w:b/>
              </w:rPr>
            </w:pPr>
            <w:r>
              <w:t xml:space="preserve">Finish Chapter 10. </w:t>
            </w:r>
          </w:p>
        </w:tc>
        <w:tc>
          <w:tcPr>
            <w:tcW w:w="3505" w:type="dxa"/>
          </w:tcPr>
          <w:p w:rsidR="00E20FB4" w:rsidRPr="00DE5E20" w:rsidRDefault="00676A50" w:rsidP="00EC1F26">
            <w:pPr>
              <w:rPr>
                <w:rStyle w:val="IntenseEmphasis"/>
              </w:rPr>
            </w:pPr>
            <w:r w:rsidRPr="00DE5E20">
              <w:rPr>
                <w:rStyle w:val="IntenseEmphasis"/>
              </w:rPr>
              <w:t>Lab Exam #2.</w:t>
            </w:r>
          </w:p>
          <w:p w:rsidR="00C754DA" w:rsidRDefault="00C754DA" w:rsidP="00C754DA"/>
        </w:tc>
      </w:tr>
      <w:tr w:rsidR="00E20FB4" w:rsidTr="00DE5E20">
        <w:tc>
          <w:tcPr>
            <w:tcW w:w="1525" w:type="dxa"/>
            <w:shd w:val="clear" w:color="auto" w:fill="D9D9D9" w:themeFill="background1" w:themeFillShade="D9"/>
          </w:tcPr>
          <w:p w:rsidR="00E20FB4" w:rsidRDefault="00DE5E20" w:rsidP="00DE5E20">
            <w:pPr>
              <w:jc w:val="center"/>
            </w:pPr>
            <w:r>
              <w:lastRenderedPageBreak/>
              <w:t>Week of March 27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E20FB4" w:rsidRDefault="00FB0268" w:rsidP="00EC1F26">
            <w:pPr>
              <w:rPr>
                <w:b/>
              </w:rPr>
            </w:pPr>
            <w:r>
              <w:t>Chapter 7 – Bone Tissue.</w:t>
            </w:r>
          </w:p>
          <w:p w:rsidR="00C754DA" w:rsidRPr="00C754DA" w:rsidRDefault="00C754DA" w:rsidP="00EC1F26"/>
        </w:tc>
        <w:tc>
          <w:tcPr>
            <w:tcW w:w="3505" w:type="dxa"/>
            <w:shd w:val="clear" w:color="auto" w:fill="D9D9D9" w:themeFill="background1" w:themeFillShade="D9"/>
          </w:tcPr>
          <w:p w:rsidR="00E20FB4" w:rsidRDefault="003A3968" w:rsidP="00676A50">
            <w:r>
              <w:t xml:space="preserve"> </w:t>
            </w:r>
            <w:r w:rsidR="003A37FD">
              <w:t>Lab 8</w:t>
            </w:r>
            <w:r w:rsidR="00676A50">
              <w:t xml:space="preserve"> – Skeleton Identification</w:t>
            </w:r>
            <w:r w:rsidR="003A37FD">
              <w:t xml:space="preserve">: Axial. </w:t>
            </w:r>
          </w:p>
        </w:tc>
      </w:tr>
      <w:tr w:rsidR="00E20FB4" w:rsidTr="00DE5E20">
        <w:tc>
          <w:tcPr>
            <w:tcW w:w="1525" w:type="dxa"/>
          </w:tcPr>
          <w:p w:rsidR="00E20FB4" w:rsidRDefault="00DE5E20" w:rsidP="00DE5E20">
            <w:pPr>
              <w:jc w:val="center"/>
            </w:pPr>
            <w:r>
              <w:t>Week of April 3</w:t>
            </w:r>
          </w:p>
        </w:tc>
        <w:tc>
          <w:tcPr>
            <w:tcW w:w="4320" w:type="dxa"/>
          </w:tcPr>
          <w:p w:rsidR="00E20FB4" w:rsidRDefault="00676A50" w:rsidP="00676A50">
            <w:r>
              <w:t xml:space="preserve">Chapter 9 – Articulations. </w:t>
            </w:r>
          </w:p>
        </w:tc>
        <w:tc>
          <w:tcPr>
            <w:tcW w:w="3505" w:type="dxa"/>
          </w:tcPr>
          <w:p w:rsidR="00E20FB4" w:rsidRDefault="003A3968" w:rsidP="003A37FD">
            <w:r>
              <w:t xml:space="preserve"> </w:t>
            </w:r>
            <w:r w:rsidR="003A37FD">
              <w:t>Lab 9</w:t>
            </w:r>
            <w:r w:rsidR="00676A50">
              <w:t xml:space="preserve"> –</w:t>
            </w:r>
            <w:r w:rsidR="003A37FD">
              <w:t xml:space="preserve"> Skeleton Identification: Appendicular.</w:t>
            </w:r>
          </w:p>
        </w:tc>
      </w:tr>
      <w:tr w:rsidR="00E20FB4" w:rsidTr="00DE5E20">
        <w:tc>
          <w:tcPr>
            <w:tcW w:w="1525" w:type="dxa"/>
            <w:shd w:val="clear" w:color="auto" w:fill="D9D9D9" w:themeFill="background1" w:themeFillShade="D9"/>
          </w:tcPr>
          <w:p w:rsidR="00E20FB4" w:rsidRDefault="00DE5E20" w:rsidP="00DE5E20">
            <w:pPr>
              <w:jc w:val="center"/>
            </w:pPr>
            <w:r>
              <w:t>Week of April 10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E20FB4" w:rsidRPr="00DE5E20" w:rsidRDefault="00676A50" w:rsidP="00FB0268">
            <w:pPr>
              <w:rPr>
                <w:rStyle w:val="Strong"/>
              </w:rPr>
            </w:pPr>
            <w:r w:rsidRPr="00DE5E20">
              <w:rPr>
                <w:rStyle w:val="IntenseEmphasis"/>
              </w:rPr>
              <w:t xml:space="preserve">Unit 3 Exam </w:t>
            </w:r>
            <w:r w:rsidRPr="00DE5E20">
              <w:rPr>
                <w:rStyle w:val="Strong"/>
              </w:rPr>
              <w:t>– Chapters 7, 9 and 10.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E20FB4" w:rsidRDefault="003A3968" w:rsidP="00676A50">
            <w:r>
              <w:t xml:space="preserve"> </w:t>
            </w:r>
            <w:r w:rsidR="003A37FD">
              <w:t>Lab 10</w:t>
            </w:r>
            <w:r w:rsidR="00676A50">
              <w:t xml:space="preserve"> –</w:t>
            </w:r>
            <w:r w:rsidR="003A37FD">
              <w:t xml:space="preserve"> Articulations.</w:t>
            </w:r>
          </w:p>
        </w:tc>
      </w:tr>
      <w:tr w:rsidR="00E20FB4" w:rsidTr="00DE5E20">
        <w:tc>
          <w:tcPr>
            <w:tcW w:w="1525" w:type="dxa"/>
          </w:tcPr>
          <w:p w:rsidR="00E20FB4" w:rsidRDefault="00DE5E20" w:rsidP="00DE5E20">
            <w:pPr>
              <w:jc w:val="center"/>
            </w:pPr>
            <w:r>
              <w:t>Week of April 17</w:t>
            </w:r>
          </w:p>
        </w:tc>
        <w:tc>
          <w:tcPr>
            <w:tcW w:w="4320" w:type="dxa"/>
          </w:tcPr>
          <w:p w:rsidR="00E20FB4" w:rsidRPr="00DE5E20" w:rsidRDefault="00C754DA" w:rsidP="00493F2C">
            <w:pPr>
              <w:rPr>
                <w:rStyle w:val="Strong"/>
              </w:rPr>
            </w:pPr>
            <w:r w:rsidRPr="00DE5E20">
              <w:rPr>
                <w:rStyle w:val="Strong"/>
              </w:rPr>
              <w:t xml:space="preserve">Holiday - Monday through </w:t>
            </w:r>
            <w:r w:rsidR="00493F2C" w:rsidRPr="00DE5E20">
              <w:rPr>
                <w:rStyle w:val="Strong"/>
              </w:rPr>
              <w:t>Tuesday – April 17 and 18</w:t>
            </w:r>
            <w:r w:rsidRPr="00DE5E20">
              <w:rPr>
                <w:rStyle w:val="Strong"/>
              </w:rPr>
              <w:t>.</w:t>
            </w:r>
            <w:r w:rsidR="00C15F04" w:rsidRPr="00DE5E20">
              <w:rPr>
                <w:rStyle w:val="Strong"/>
              </w:rPr>
              <w:t xml:space="preserve"> </w:t>
            </w:r>
          </w:p>
        </w:tc>
        <w:tc>
          <w:tcPr>
            <w:tcW w:w="3505" w:type="dxa"/>
          </w:tcPr>
          <w:p w:rsidR="00E20FB4" w:rsidRDefault="003A3968" w:rsidP="00676A50">
            <w:r>
              <w:t xml:space="preserve"> </w:t>
            </w:r>
            <w:r w:rsidR="003A37FD">
              <w:t>Lab 11</w:t>
            </w:r>
            <w:r w:rsidR="00676A50">
              <w:t xml:space="preserve"> –</w:t>
            </w:r>
            <w:r w:rsidR="003A37FD">
              <w:t xml:space="preserve"> Integumentary System and Fingerprinting. </w:t>
            </w:r>
          </w:p>
        </w:tc>
      </w:tr>
      <w:tr w:rsidR="00C15F04" w:rsidTr="00DE5E20">
        <w:tc>
          <w:tcPr>
            <w:tcW w:w="1525" w:type="dxa"/>
            <w:shd w:val="clear" w:color="auto" w:fill="D9D9D9" w:themeFill="background1" w:themeFillShade="D9"/>
          </w:tcPr>
          <w:p w:rsidR="00C15F04" w:rsidRDefault="00C15F04" w:rsidP="00DE5E20">
            <w:pPr>
              <w:jc w:val="center"/>
            </w:pPr>
            <w:r>
              <w:t xml:space="preserve">Week </w:t>
            </w:r>
            <w:r w:rsidR="00DE5E20">
              <w:t>of April 24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C15F04" w:rsidRDefault="00676A50" w:rsidP="00FB0268">
            <w:r>
              <w:t>Chapter 6 – Integumentary System.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C15F04" w:rsidRDefault="003A3968" w:rsidP="00C15F04">
            <w:r>
              <w:t xml:space="preserve"> </w:t>
            </w:r>
            <w:r w:rsidR="00DD52EC">
              <w:t>Final Lab Exam Review.</w:t>
            </w:r>
          </w:p>
        </w:tc>
      </w:tr>
      <w:tr w:rsidR="00C15F04" w:rsidTr="00DE5E20">
        <w:tc>
          <w:tcPr>
            <w:tcW w:w="1525" w:type="dxa"/>
          </w:tcPr>
          <w:p w:rsidR="00C15F04" w:rsidRDefault="00DE5E20" w:rsidP="00DE5E20">
            <w:pPr>
              <w:jc w:val="center"/>
            </w:pPr>
            <w:r>
              <w:t>Week of May 1</w:t>
            </w:r>
          </w:p>
        </w:tc>
        <w:tc>
          <w:tcPr>
            <w:tcW w:w="4320" w:type="dxa"/>
          </w:tcPr>
          <w:p w:rsidR="00C15F04" w:rsidRPr="00DE5E20" w:rsidRDefault="00D5458E" w:rsidP="00676A50">
            <w:pPr>
              <w:rPr>
                <w:rStyle w:val="Strong"/>
              </w:rPr>
            </w:pPr>
            <w:r w:rsidRPr="00DE5E20">
              <w:rPr>
                <w:rStyle w:val="IntenseEmphasis"/>
              </w:rPr>
              <w:t>Final</w:t>
            </w:r>
            <w:r w:rsidR="00676A50" w:rsidRPr="00DE5E20">
              <w:rPr>
                <w:rStyle w:val="IntenseEmphasis"/>
              </w:rPr>
              <w:t xml:space="preserve"> Exam</w:t>
            </w:r>
            <w:r w:rsidR="00676A50" w:rsidRPr="00DE5E20">
              <w:rPr>
                <w:rStyle w:val="Strong"/>
              </w:rPr>
              <w:t xml:space="preserve"> – Chapter 6 and Cumulative Material</w:t>
            </w:r>
            <w:r w:rsidR="00FB48F0" w:rsidRPr="00DE5E20">
              <w:rPr>
                <w:rStyle w:val="Strong"/>
              </w:rPr>
              <w:t xml:space="preserve">. </w:t>
            </w:r>
          </w:p>
        </w:tc>
        <w:tc>
          <w:tcPr>
            <w:tcW w:w="3505" w:type="dxa"/>
          </w:tcPr>
          <w:p w:rsidR="00C15F04" w:rsidRPr="00DE5E20" w:rsidRDefault="00551255" w:rsidP="00551255">
            <w:pPr>
              <w:rPr>
                <w:rStyle w:val="IntenseEmphasis"/>
              </w:rPr>
            </w:pPr>
            <w:r w:rsidRPr="00DE5E20">
              <w:rPr>
                <w:rStyle w:val="IntenseEmphasis"/>
              </w:rPr>
              <w:t>Lab Exam #3.</w:t>
            </w:r>
          </w:p>
        </w:tc>
      </w:tr>
      <w:tr w:rsidR="00C15F04" w:rsidTr="00DE5E20">
        <w:tc>
          <w:tcPr>
            <w:tcW w:w="1525" w:type="dxa"/>
            <w:shd w:val="clear" w:color="auto" w:fill="D9D9D9" w:themeFill="background1" w:themeFillShade="D9"/>
          </w:tcPr>
          <w:p w:rsidR="00C15F04" w:rsidRDefault="00DE5E20" w:rsidP="00DE5E20">
            <w:pPr>
              <w:jc w:val="center"/>
            </w:pPr>
            <w:r>
              <w:t>Week of May 8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C15F04" w:rsidRPr="00DE5E20" w:rsidRDefault="00C15F04" w:rsidP="00C15F04">
            <w:pPr>
              <w:rPr>
                <w:rStyle w:val="Strong"/>
              </w:rPr>
            </w:pPr>
            <w:r w:rsidRPr="00DE5E20">
              <w:rPr>
                <w:rStyle w:val="Strong"/>
              </w:rPr>
              <w:t>Day and Evening Classes End – Monday May 8.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C15F04" w:rsidRDefault="00C15F04" w:rsidP="00C15F04"/>
        </w:tc>
      </w:tr>
    </w:tbl>
    <w:bookmarkEnd w:id="0"/>
    <w:p w:rsidR="00DE5E20" w:rsidRDefault="00DE5E20" w:rsidP="00DE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</w:pPr>
      <w:r w:rsidRPr="00B8550E">
        <w:t>This workforce solution was funded by a grant awarded by the U.S. Department of Labor's Employment and Train</w:t>
      </w:r>
      <w:r>
        <w:t>ing Administration.  The product</w:t>
      </w:r>
      <w:r w:rsidRPr="00B8550E">
        <w:t xml:space="preserve"> was created by the grantee and does not necessarily reflect the official position of the U.S. Department of Labor.  The</w:t>
      </w:r>
      <w:r>
        <w:t xml:space="preserve"> U.S. </w:t>
      </w:r>
      <w:r w:rsidRPr="00B8550E">
        <w:t>Department of Lab</w:t>
      </w:r>
      <w:r>
        <w:t>or makes no guarantees, warranti</w:t>
      </w:r>
      <w:r w:rsidRPr="00B8550E">
        <w:t>es, or assurances of any kind, express or implied, with respect to such information, including any information on linked sites, and including, but not limited to</w:t>
      </w:r>
      <w:r>
        <w:t>,</w:t>
      </w:r>
      <w:r w:rsidRPr="00B8550E">
        <w:t xml:space="preserve"> accuracy of the information or its completeness, timeliness, usefulness, adequacy, continued availability or ownership.</w:t>
      </w:r>
    </w:p>
    <w:p w:rsidR="00C159B2" w:rsidRDefault="00C159B2" w:rsidP="00C159B2"/>
    <w:sectPr w:rsidR="00C159B2" w:rsidSect="00DE5E20">
      <w:headerReference w:type="default" r:id="rId6"/>
      <w:footerReference w:type="even" r:id="rId7"/>
      <w:footerReference w:type="default" r:id="rId8"/>
      <w:pgSz w:w="12240" w:h="15840"/>
      <w:pgMar w:top="72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1" w:rsidRDefault="004A6391" w:rsidP="00F96A8C">
      <w:pPr>
        <w:spacing w:line="240" w:lineRule="auto"/>
      </w:pPr>
      <w:r>
        <w:separator/>
      </w:r>
    </w:p>
  </w:endnote>
  <w:endnote w:type="continuationSeparator" w:id="0">
    <w:p w:rsidR="004A6391" w:rsidRDefault="004A6391" w:rsidP="00F96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78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3B6" w:rsidRDefault="008523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3B6" w:rsidRDefault="00852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577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E20" w:rsidRDefault="00DE5E20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C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C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DE5E20" w:rsidRDefault="00DE5E20" w:rsidP="00DE5E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E5E20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A67C0CE" wp14:editId="295C9214">
                  <wp:extent cx="695325" cy="244944"/>
                  <wp:effectExtent l="0" t="0" r="0" b="3175"/>
                  <wp:docPr id="1" name="Picture 1" descr="Creative Commons license attribution  logo&#10;" title="Attribution CC B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 BY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4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5E20">
              <w:rPr>
                <w:rFonts w:ascii="ArialMT" w:eastAsiaTheme="minorHAnsi" w:cs="ArialMT"/>
                <w:color w:val="000000"/>
              </w:rPr>
              <w:t xml:space="preserve">  Syllabus BIO 168 by BOOST Consortium, Robeson Community College is licensed under the Creative Commons Attribution 4.0 International License. To view a copy of this license, visit </w:t>
            </w:r>
            <w:hyperlink r:id="rId2" w:history="1">
              <w:r w:rsidRPr="00DE5E20">
                <w:rPr>
                  <w:rFonts w:ascii="ArialMT" w:eastAsiaTheme="minorHAnsi" w:cs="ArialMT"/>
                  <w:color w:val="0000FF" w:themeColor="hyperlink"/>
                  <w:u w:val="single"/>
                </w:rPr>
                <w:t>Creative Commons 4.0 License</w:t>
              </w:r>
            </w:hyperlink>
          </w:p>
        </w:sdtContent>
      </w:sdt>
    </w:sdtContent>
  </w:sdt>
  <w:p w:rsidR="008523B6" w:rsidRDefault="00852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1" w:rsidRDefault="004A6391" w:rsidP="00F96A8C">
      <w:pPr>
        <w:spacing w:line="240" w:lineRule="auto"/>
      </w:pPr>
      <w:r>
        <w:separator/>
      </w:r>
    </w:p>
  </w:footnote>
  <w:footnote w:type="continuationSeparator" w:id="0">
    <w:p w:rsidR="004A6391" w:rsidRDefault="004A6391" w:rsidP="00F96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978164"/>
      <w:docPartObj>
        <w:docPartGallery w:val="Page Numbers (Margins)"/>
        <w:docPartUnique/>
      </w:docPartObj>
    </w:sdtPr>
    <w:sdtEndPr/>
    <w:sdtContent>
      <w:p w:rsidR="00F96A8C" w:rsidRDefault="00CD1C6F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60"/>
    <w:rsid w:val="00031C27"/>
    <w:rsid w:val="00037AC7"/>
    <w:rsid w:val="00044062"/>
    <w:rsid w:val="000560FB"/>
    <w:rsid w:val="00061EEF"/>
    <w:rsid w:val="000622D7"/>
    <w:rsid w:val="00072430"/>
    <w:rsid w:val="00093BB0"/>
    <w:rsid w:val="000C2A0E"/>
    <w:rsid w:val="000C7050"/>
    <w:rsid w:val="000D103B"/>
    <w:rsid w:val="000D4031"/>
    <w:rsid w:val="000D49EC"/>
    <w:rsid w:val="000E646B"/>
    <w:rsid w:val="000F110B"/>
    <w:rsid w:val="000F55E0"/>
    <w:rsid w:val="001017A6"/>
    <w:rsid w:val="00122DC6"/>
    <w:rsid w:val="0014653A"/>
    <w:rsid w:val="001676BC"/>
    <w:rsid w:val="00167D1A"/>
    <w:rsid w:val="00170AA7"/>
    <w:rsid w:val="00181BA5"/>
    <w:rsid w:val="001870CA"/>
    <w:rsid w:val="00190E16"/>
    <w:rsid w:val="00196EC0"/>
    <w:rsid w:val="001A0B41"/>
    <w:rsid w:val="001B3AA8"/>
    <w:rsid w:val="001D7DE7"/>
    <w:rsid w:val="001E076A"/>
    <w:rsid w:val="001E076D"/>
    <w:rsid w:val="001E126C"/>
    <w:rsid w:val="001E66BF"/>
    <w:rsid w:val="001F5175"/>
    <w:rsid w:val="0022534A"/>
    <w:rsid w:val="00236A74"/>
    <w:rsid w:val="0023726F"/>
    <w:rsid w:val="002474D2"/>
    <w:rsid w:val="0025269A"/>
    <w:rsid w:val="00274AAC"/>
    <w:rsid w:val="00282A57"/>
    <w:rsid w:val="002921BB"/>
    <w:rsid w:val="002954D3"/>
    <w:rsid w:val="002B1DB9"/>
    <w:rsid w:val="002C211B"/>
    <w:rsid w:val="002C5E02"/>
    <w:rsid w:val="002C60E1"/>
    <w:rsid w:val="002F26E1"/>
    <w:rsid w:val="002F7DE9"/>
    <w:rsid w:val="003002DB"/>
    <w:rsid w:val="00305242"/>
    <w:rsid w:val="00315463"/>
    <w:rsid w:val="0032413B"/>
    <w:rsid w:val="00333D4A"/>
    <w:rsid w:val="00343F29"/>
    <w:rsid w:val="00351896"/>
    <w:rsid w:val="00374858"/>
    <w:rsid w:val="00386717"/>
    <w:rsid w:val="00397532"/>
    <w:rsid w:val="003A108A"/>
    <w:rsid w:val="003A37FD"/>
    <w:rsid w:val="003A3968"/>
    <w:rsid w:val="003A3F4D"/>
    <w:rsid w:val="003C1821"/>
    <w:rsid w:val="003C2C38"/>
    <w:rsid w:val="003D1955"/>
    <w:rsid w:val="003E3F8F"/>
    <w:rsid w:val="003E6EA7"/>
    <w:rsid w:val="003F2EB3"/>
    <w:rsid w:val="003F4C6F"/>
    <w:rsid w:val="003F569D"/>
    <w:rsid w:val="00421272"/>
    <w:rsid w:val="00446688"/>
    <w:rsid w:val="004469D5"/>
    <w:rsid w:val="00470DFB"/>
    <w:rsid w:val="004760F5"/>
    <w:rsid w:val="00487737"/>
    <w:rsid w:val="00493F2C"/>
    <w:rsid w:val="004A6391"/>
    <w:rsid w:val="004B761A"/>
    <w:rsid w:val="004C031A"/>
    <w:rsid w:val="004C23FC"/>
    <w:rsid w:val="004C28E2"/>
    <w:rsid w:val="004C2E88"/>
    <w:rsid w:val="004C5599"/>
    <w:rsid w:val="004D0B0C"/>
    <w:rsid w:val="004D2BA9"/>
    <w:rsid w:val="004D52BB"/>
    <w:rsid w:val="004E3260"/>
    <w:rsid w:val="004E4102"/>
    <w:rsid w:val="004F3C64"/>
    <w:rsid w:val="004F72E2"/>
    <w:rsid w:val="00506EEF"/>
    <w:rsid w:val="0052173B"/>
    <w:rsid w:val="0054582F"/>
    <w:rsid w:val="00551255"/>
    <w:rsid w:val="00552C81"/>
    <w:rsid w:val="00562C0D"/>
    <w:rsid w:val="005771F7"/>
    <w:rsid w:val="00591533"/>
    <w:rsid w:val="005A7D91"/>
    <w:rsid w:val="005C4E0D"/>
    <w:rsid w:val="005F36F4"/>
    <w:rsid w:val="00617399"/>
    <w:rsid w:val="00622E12"/>
    <w:rsid w:val="006240CD"/>
    <w:rsid w:val="00640397"/>
    <w:rsid w:val="00652257"/>
    <w:rsid w:val="00656C0A"/>
    <w:rsid w:val="0066089A"/>
    <w:rsid w:val="00671056"/>
    <w:rsid w:val="0067360C"/>
    <w:rsid w:val="00676A50"/>
    <w:rsid w:val="006812F9"/>
    <w:rsid w:val="006824A8"/>
    <w:rsid w:val="00684DBF"/>
    <w:rsid w:val="00687BF5"/>
    <w:rsid w:val="006A04AE"/>
    <w:rsid w:val="006A3645"/>
    <w:rsid w:val="006B0E08"/>
    <w:rsid w:val="006B28D1"/>
    <w:rsid w:val="006B2A81"/>
    <w:rsid w:val="006B4C0A"/>
    <w:rsid w:val="006B5EA3"/>
    <w:rsid w:val="006C735C"/>
    <w:rsid w:val="006D549B"/>
    <w:rsid w:val="006E213C"/>
    <w:rsid w:val="00701FA6"/>
    <w:rsid w:val="00707AED"/>
    <w:rsid w:val="0071037D"/>
    <w:rsid w:val="007244F3"/>
    <w:rsid w:val="00724590"/>
    <w:rsid w:val="00736472"/>
    <w:rsid w:val="00740009"/>
    <w:rsid w:val="0074569C"/>
    <w:rsid w:val="00757410"/>
    <w:rsid w:val="00783B8F"/>
    <w:rsid w:val="00797314"/>
    <w:rsid w:val="007A02F9"/>
    <w:rsid w:val="007A2429"/>
    <w:rsid w:val="007A40D8"/>
    <w:rsid w:val="007B7C40"/>
    <w:rsid w:val="007C51A0"/>
    <w:rsid w:val="007C5BFB"/>
    <w:rsid w:val="007D120B"/>
    <w:rsid w:val="007E5AF1"/>
    <w:rsid w:val="007F496A"/>
    <w:rsid w:val="007F6325"/>
    <w:rsid w:val="00803B57"/>
    <w:rsid w:val="00810F0D"/>
    <w:rsid w:val="00823FBE"/>
    <w:rsid w:val="008523B6"/>
    <w:rsid w:val="00866A05"/>
    <w:rsid w:val="008702B4"/>
    <w:rsid w:val="00872BCA"/>
    <w:rsid w:val="00887CCB"/>
    <w:rsid w:val="0089262C"/>
    <w:rsid w:val="008A0B23"/>
    <w:rsid w:val="008A24DD"/>
    <w:rsid w:val="008A2FBC"/>
    <w:rsid w:val="008C0349"/>
    <w:rsid w:val="008D13F9"/>
    <w:rsid w:val="008D64DB"/>
    <w:rsid w:val="008D6723"/>
    <w:rsid w:val="008F33CD"/>
    <w:rsid w:val="0091073B"/>
    <w:rsid w:val="00915826"/>
    <w:rsid w:val="00931B40"/>
    <w:rsid w:val="00945F91"/>
    <w:rsid w:val="0098585F"/>
    <w:rsid w:val="009940A3"/>
    <w:rsid w:val="00994D03"/>
    <w:rsid w:val="009A70A0"/>
    <w:rsid w:val="009B4EF9"/>
    <w:rsid w:val="009E7FF8"/>
    <w:rsid w:val="009F1443"/>
    <w:rsid w:val="00A01540"/>
    <w:rsid w:val="00A139E0"/>
    <w:rsid w:val="00A144AC"/>
    <w:rsid w:val="00A27F08"/>
    <w:rsid w:val="00A60D1E"/>
    <w:rsid w:val="00A6397A"/>
    <w:rsid w:val="00A7646C"/>
    <w:rsid w:val="00A77E00"/>
    <w:rsid w:val="00A85860"/>
    <w:rsid w:val="00A9128F"/>
    <w:rsid w:val="00AA604A"/>
    <w:rsid w:val="00AB04AE"/>
    <w:rsid w:val="00AB2E67"/>
    <w:rsid w:val="00AB471A"/>
    <w:rsid w:val="00AB5544"/>
    <w:rsid w:val="00AF5FE5"/>
    <w:rsid w:val="00AF6998"/>
    <w:rsid w:val="00B33D82"/>
    <w:rsid w:val="00B37AE0"/>
    <w:rsid w:val="00B413F0"/>
    <w:rsid w:val="00B540C6"/>
    <w:rsid w:val="00B70FD1"/>
    <w:rsid w:val="00B72397"/>
    <w:rsid w:val="00B74F19"/>
    <w:rsid w:val="00B80B4D"/>
    <w:rsid w:val="00B87BB6"/>
    <w:rsid w:val="00BA1F6E"/>
    <w:rsid w:val="00BC52E7"/>
    <w:rsid w:val="00BD7E2F"/>
    <w:rsid w:val="00BE1426"/>
    <w:rsid w:val="00C00B10"/>
    <w:rsid w:val="00C018F3"/>
    <w:rsid w:val="00C02E0E"/>
    <w:rsid w:val="00C05234"/>
    <w:rsid w:val="00C1066C"/>
    <w:rsid w:val="00C159B2"/>
    <w:rsid w:val="00C15F04"/>
    <w:rsid w:val="00C307CD"/>
    <w:rsid w:val="00C31102"/>
    <w:rsid w:val="00C43229"/>
    <w:rsid w:val="00C54FAE"/>
    <w:rsid w:val="00C600C1"/>
    <w:rsid w:val="00C64E36"/>
    <w:rsid w:val="00C705CA"/>
    <w:rsid w:val="00C754DA"/>
    <w:rsid w:val="00C77835"/>
    <w:rsid w:val="00C85FCF"/>
    <w:rsid w:val="00CA32D8"/>
    <w:rsid w:val="00CB470F"/>
    <w:rsid w:val="00CB6997"/>
    <w:rsid w:val="00CC783B"/>
    <w:rsid w:val="00CD1C6F"/>
    <w:rsid w:val="00CD272E"/>
    <w:rsid w:val="00CD4515"/>
    <w:rsid w:val="00CE7284"/>
    <w:rsid w:val="00CF1A85"/>
    <w:rsid w:val="00CF4BB7"/>
    <w:rsid w:val="00D0103A"/>
    <w:rsid w:val="00D01DFF"/>
    <w:rsid w:val="00D125B6"/>
    <w:rsid w:val="00D12ABE"/>
    <w:rsid w:val="00D16693"/>
    <w:rsid w:val="00D42B8C"/>
    <w:rsid w:val="00D44D06"/>
    <w:rsid w:val="00D5458E"/>
    <w:rsid w:val="00D64194"/>
    <w:rsid w:val="00D73D02"/>
    <w:rsid w:val="00D84AEF"/>
    <w:rsid w:val="00D92F9D"/>
    <w:rsid w:val="00D93213"/>
    <w:rsid w:val="00D97BF2"/>
    <w:rsid w:val="00DB0710"/>
    <w:rsid w:val="00DC4DB4"/>
    <w:rsid w:val="00DD52EC"/>
    <w:rsid w:val="00DE05F2"/>
    <w:rsid w:val="00DE5E20"/>
    <w:rsid w:val="00E20FB4"/>
    <w:rsid w:val="00E21088"/>
    <w:rsid w:val="00E23D3D"/>
    <w:rsid w:val="00E26816"/>
    <w:rsid w:val="00E55745"/>
    <w:rsid w:val="00E97524"/>
    <w:rsid w:val="00EA7828"/>
    <w:rsid w:val="00EA7AC3"/>
    <w:rsid w:val="00EC1F26"/>
    <w:rsid w:val="00EC25A3"/>
    <w:rsid w:val="00ED3DCF"/>
    <w:rsid w:val="00ED6E5D"/>
    <w:rsid w:val="00EF11A4"/>
    <w:rsid w:val="00EF190A"/>
    <w:rsid w:val="00F005FC"/>
    <w:rsid w:val="00F200EB"/>
    <w:rsid w:val="00F22B76"/>
    <w:rsid w:val="00F27488"/>
    <w:rsid w:val="00F34215"/>
    <w:rsid w:val="00F36486"/>
    <w:rsid w:val="00F42A22"/>
    <w:rsid w:val="00F53D05"/>
    <w:rsid w:val="00F86A2D"/>
    <w:rsid w:val="00F935C6"/>
    <w:rsid w:val="00F96A8C"/>
    <w:rsid w:val="00FB0268"/>
    <w:rsid w:val="00FB330A"/>
    <w:rsid w:val="00FB48F0"/>
    <w:rsid w:val="00FB5A77"/>
    <w:rsid w:val="00FD2F1D"/>
    <w:rsid w:val="00FE1191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79C5639-6CAE-4C21-88C2-BE3929E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E20"/>
    <w:pPr>
      <w:keepNext/>
      <w:keepLines/>
      <w:outlineLvl w:val="0"/>
    </w:pPr>
    <w:rPr>
      <w:rFonts w:ascii="Cambria" w:eastAsiaTheme="majorEastAsia" w:hAnsi="Cambria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E20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E20"/>
    <w:pPr>
      <w:keepNext/>
      <w:keepLines/>
      <w:spacing w:before="120"/>
      <w:outlineLvl w:val="2"/>
    </w:pPr>
    <w:rPr>
      <w:rFonts w:ascii="Cambria" w:eastAsiaTheme="majorEastAsia" w:hAnsi="Cambria" w:cstheme="majorBidi"/>
      <w:b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E20"/>
    <w:pPr>
      <w:keepNext/>
      <w:keepLines/>
      <w:spacing w:before="40"/>
      <w:outlineLvl w:val="3"/>
    </w:pPr>
    <w:rPr>
      <w:rFonts w:ascii="Cambria" w:eastAsiaTheme="majorEastAsia" w:hAnsi="Cambr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E20"/>
    <w:pPr>
      <w:keepNext/>
      <w:keepLines/>
      <w:spacing w:before="40"/>
      <w:outlineLvl w:val="4"/>
    </w:pPr>
    <w:rPr>
      <w:rFonts w:ascii="Cambria" w:eastAsiaTheme="majorEastAsia" w:hAnsi="Cambria" w:cstheme="majorBidi"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8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A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8C"/>
  </w:style>
  <w:style w:type="paragraph" w:styleId="Footer">
    <w:name w:val="footer"/>
    <w:basedOn w:val="Normal"/>
    <w:link w:val="FooterChar"/>
    <w:uiPriority w:val="99"/>
    <w:unhideWhenUsed/>
    <w:rsid w:val="00F96A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8C"/>
  </w:style>
  <w:style w:type="paragraph" w:customStyle="1" w:styleId="BOOSTBW">
    <w:name w:val="BOOST B&amp;W"/>
    <w:basedOn w:val="Normal"/>
    <w:next w:val="Normal"/>
    <w:link w:val="BOOSTBWChar"/>
    <w:autoRedefine/>
    <w:qFormat/>
    <w:rsid w:val="00DE5E20"/>
    <w:rPr>
      <w:b/>
    </w:rPr>
  </w:style>
  <w:style w:type="character" w:customStyle="1" w:styleId="BOOSTBWChar">
    <w:name w:val="BOOST B&amp;W Char"/>
    <w:basedOn w:val="DefaultParagraphFont"/>
    <w:link w:val="BOOSTBW"/>
    <w:rsid w:val="00DE5E20"/>
    <w:rPr>
      <w:rFonts w:eastAsiaTheme="minorEastAsia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E5E20"/>
    <w:rPr>
      <w:rFonts w:ascii="Cambria" w:eastAsiaTheme="majorEastAsia" w:hAnsi="Cambria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E20"/>
    <w:rPr>
      <w:rFonts w:ascii="Cambria" w:eastAsiaTheme="majorEastAsia" w:hAnsi="Cambria" w:cstheme="majorBidi"/>
      <w:b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5E20"/>
    <w:rPr>
      <w:rFonts w:ascii="Cambria" w:eastAsiaTheme="majorEastAsia" w:hAnsi="Cambria" w:cstheme="majorBidi"/>
      <w:b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E20"/>
    <w:rPr>
      <w:rFonts w:ascii="Cambria" w:eastAsiaTheme="majorEastAsia" w:hAnsi="Cambr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E20"/>
    <w:rPr>
      <w:rFonts w:ascii="Cambria" w:eastAsiaTheme="majorEastAsia" w:hAnsi="Cambria" w:cstheme="majorBidi"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5E20"/>
    <w:pPr>
      <w:spacing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E20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E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5E2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E5E20"/>
    <w:rPr>
      <w:b/>
      <w:bCs/>
    </w:rPr>
  </w:style>
  <w:style w:type="character" w:styleId="Emphasis">
    <w:name w:val="Emphasis"/>
    <w:basedOn w:val="DefaultParagraphFont"/>
    <w:uiPriority w:val="20"/>
    <w:qFormat/>
    <w:rsid w:val="00DE5E20"/>
    <w:rPr>
      <w:i/>
      <w:iCs/>
    </w:rPr>
  </w:style>
  <w:style w:type="paragraph" w:styleId="NoSpacing">
    <w:name w:val="No Spacing"/>
    <w:uiPriority w:val="1"/>
    <w:qFormat/>
    <w:rsid w:val="00DE5E20"/>
    <w:pPr>
      <w:spacing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5E20"/>
    <w:pPr>
      <w:contextualSpacing/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E5E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5E20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E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E20"/>
    <w:rPr>
      <w:rFonts w:eastAsiaTheme="minorEastAs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DE5E20"/>
    <w:rPr>
      <w:i/>
      <w:iCs/>
      <w:color w:val="404040" w:themeColor="text1" w:themeTint="BF"/>
    </w:rPr>
  </w:style>
  <w:style w:type="character" w:styleId="IntenseEmphasis">
    <w:name w:val="Intense Emphasis"/>
    <w:basedOn w:val="BookTitle"/>
    <w:uiPriority w:val="21"/>
    <w:qFormat/>
    <w:rsid w:val="00DE5E20"/>
    <w:rPr>
      <w:b/>
      <w:bCs/>
      <w:i/>
      <w:iC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5E2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DE5E2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5E20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deed.en_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hendrixmh@midlandstech.edu</cp:lastModifiedBy>
  <cp:revision>4</cp:revision>
  <cp:lastPrinted>2015-08-04T20:35:00Z</cp:lastPrinted>
  <dcterms:created xsi:type="dcterms:W3CDTF">2017-06-05T13:42:00Z</dcterms:created>
  <dcterms:modified xsi:type="dcterms:W3CDTF">2017-06-19T14:08:00Z</dcterms:modified>
</cp:coreProperties>
</file>