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0E" w:rsidRDefault="00F43156" w:rsidP="00F43156">
      <w:pPr>
        <w:pStyle w:val="Title"/>
      </w:pPr>
      <w:r>
        <w:t>Washington County Community College</w:t>
      </w:r>
    </w:p>
    <w:p w:rsidR="00F43156" w:rsidRDefault="00F43156" w:rsidP="00F43156">
      <w:pPr>
        <w:pStyle w:val="Title"/>
      </w:pPr>
      <w:r>
        <w:t>Computer Technology</w:t>
      </w:r>
    </w:p>
    <w:p w:rsidR="00F43156" w:rsidRDefault="00F43156" w:rsidP="00F43156">
      <w:pPr>
        <w:pStyle w:val="Title"/>
      </w:pPr>
      <w:r>
        <w:t>Course Syllabus</w:t>
      </w:r>
    </w:p>
    <w:p w:rsidR="00F43156" w:rsidRDefault="00F43156" w:rsidP="00F43156">
      <w:pPr>
        <w:pStyle w:val="Title"/>
      </w:pPr>
      <w:r>
        <w:t xml:space="preserve">Course No: </w:t>
      </w:r>
      <w:r w:rsidR="00430803">
        <w:t>CTT-255</w:t>
      </w:r>
    </w:p>
    <w:p w:rsidR="00F43156" w:rsidRDefault="00F43156" w:rsidP="00F43156">
      <w:pPr>
        <w:pStyle w:val="Title"/>
      </w:pPr>
      <w:r>
        <w:t xml:space="preserve">Course Title: </w:t>
      </w:r>
      <w:r w:rsidR="00430803">
        <w:t>Server Operating Systems</w:t>
      </w:r>
    </w:p>
    <w:p w:rsidR="00F43156" w:rsidRDefault="00F43156" w:rsidP="00F43156"/>
    <w:p w:rsidR="00F43156" w:rsidRDefault="00F43156" w:rsidP="00F43156">
      <w:r>
        <w:t xml:space="preserve">Semester: </w:t>
      </w:r>
    </w:p>
    <w:p w:rsidR="00F43156" w:rsidRDefault="00F43156" w:rsidP="00F43156">
      <w:r>
        <w:t>Class Location:</w:t>
      </w:r>
    </w:p>
    <w:p w:rsidR="00F43156" w:rsidRDefault="00F43156" w:rsidP="00F43156">
      <w:r>
        <w:t>Class Schedule:</w:t>
      </w:r>
    </w:p>
    <w:p w:rsidR="00F43156" w:rsidRDefault="00F43156" w:rsidP="00F43156">
      <w:r>
        <w:t>Instructor:</w:t>
      </w:r>
    </w:p>
    <w:p w:rsidR="00F43156" w:rsidRDefault="00F43156" w:rsidP="00F43156">
      <w:r>
        <w:t>Email:</w:t>
      </w:r>
    </w:p>
    <w:p w:rsidR="00F43156" w:rsidRDefault="00F43156" w:rsidP="00F43156">
      <w:r>
        <w:t>Phone:</w:t>
      </w:r>
    </w:p>
    <w:p w:rsidR="00F43156" w:rsidRDefault="00F43156" w:rsidP="00F43156">
      <w:r>
        <w:t>Office Location:</w:t>
      </w:r>
    </w:p>
    <w:p w:rsidR="00F43156" w:rsidRDefault="00F43156" w:rsidP="00F43156">
      <w:r>
        <w:t>Office Hours:</w:t>
      </w:r>
    </w:p>
    <w:p w:rsidR="00F43156" w:rsidRDefault="00F43156" w:rsidP="00F43156">
      <w:pPr>
        <w:pStyle w:val="Heading1"/>
      </w:pPr>
      <w:r>
        <w:t>Textbooks:</w:t>
      </w:r>
    </w:p>
    <w:p w:rsidR="00F43156" w:rsidRPr="00430803" w:rsidRDefault="00430803" w:rsidP="00430803">
      <w:pPr>
        <w:rPr>
          <w:rFonts w:eastAsia="Times New Roman"/>
        </w:rPr>
      </w:pPr>
      <w:r w:rsidRPr="00682472">
        <w:rPr>
          <w:color w:val="000000"/>
        </w:rPr>
        <w:t xml:space="preserve">Greg Tomsho, </w:t>
      </w:r>
      <w:r w:rsidRPr="00682472">
        <w:t>MCSA Guide to Installing and Configuring Windows Server 2012/R2, Exam 70-410</w:t>
      </w:r>
      <w:r w:rsidRPr="00682472">
        <w:rPr>
          <w:color w:val="000000"/>
        </w:rPr>
        <w:t xml:space="preserve">. Cengage Learning, 2015, </w:t>
      </w:r>
      <w:r w:rsidRPr="00682472">
        <w:t>ISBN-13: 9781285868653.</w:t>
      </w:r>
      <w:r w:rsidR="00477FC9">
        <w:t xml:space="preserve"> </w:t>
      </w:r>
    </w:p>
    <w:p w:rsidR="00430803" w:rsidRDefault="00430803" w:rsidP="00430803">
      <w:pPr>
        <w:spacing w:after="0" w:line="240" w:lineRule="auto"/>
        <w:rPr>
          <w:rFonts w:eastAsia="Times New Roman" w:cs="Times New Roman"/>
          <w:b/>
          <w:bCs/>
        </w:rPr>
      </w:pPr>
    </w:p>
    <w:p w:rsidR="00430803" w:rsidRPr="00430803" w:rsidRDefault="00430803" w:rsidP="00430803">
      <w:pPr>
        <w:rPr>
          <w:rStyle w:val="Strong"/>
        </w:rPr>
      </w:pPr>
      <w:r w:rsidRPr="00430803">
        <w:rPr>
          <w:rStyle w:val="Strong"/>
        </w:rPr>
        <w:t xml:space="preserve">Pre-requisites: </w:t>
      </w:r>
    </w:p>
    <w:p w:rsidR="002E27C4" w:rsidRPr="00430803" w:rsidRDefault="00430803" w:rsidP="002E27C4">
      <w:pPr>
        <w:rPr>
          <w:rFonts w:eastAsia="Times New Roman"/>
        </w:rPr>
      </w:pPr>
      <w:r w:rsidRPr="00682472">
        <w:t>CTT140 and CTT150 passed with a C or better or permission of instructor.</w:t>
      </w:r>
    </w:p>
    <w:p w:rsidR="00F43156" w:rsidRDefault="00F43156" w:rsidP="00F43156">
      <w:pPr>
        <w:pStyle w:val="Heading1"/>
      </w:pPr>
      <w:r>
        <w:t>Course Description:</w:t>
      </w:r>
    </w:p>
    <w:p w:rsidR="00430803" w:rsidRPr="00430803" w:rsidRDefault="00430803" w:rsidP="00430803">
      <w:r w:rsidRPr="00682472">
        <w:t>This course will introduce students to installation, support and troubleshooting of computer server operating systems. Students will focus on Microsoft Windows Server platforms. Other server platforms will also be reviewed.</w:t>
      </w:r>
    </w:p>
    <w:p w:rsidR="00430803" w:rsidRPr="00682472" w:rsidRDefault="00430803" w:rsidP="00430803">
      <w:pPr>
        <w:pStyle w:val="Heading1"/>
      </w:pPr>
      <w:r w:rsidRPr="00682472">
        <w:rPr>
          <w:rFonts w:eastAsia="Times New Roman"/>
        </w:rPr>
        <w:t xml:space="preserve">Course Objectives: </w:t>
      </w:r>
    </w:p>
    <w:p w:rsidR="00A56560" w:rsidRDefault="00430803" w:rsidP="00A56560">
      <w:r w:rsidRPr="00682472">
        <w:t>This course</w:t>
      </w:r>
      <w:r w:rsidRPr="00682472">
        <w:rPr>
          <w:i/>
        </w:rPr>
        <w:t xml:space="preserve"> </w:t>
      </w:r>
      <w:r w:rsidRPr="00682472">
        <w:t>gives you in-depth coverage of the 70-410 certification exam objectives and focuses on the skills you need to install and configure Windows Server 2012/R2. After you finish this course, you’ll have an in-depth knowledge of Windows Server 2012/R2, including installation, local and remote management, file and storage services, Active Directory, group policies, TCP/IP, networking services, and Hyper-V virtualization. Both the original release of Windows Server 2012 and the R2 release are covered.</w:t>
      </w:r>
    </w:p>
    <w:p w:rsidR="00F43156" w:rsidRDefault="00F43156" w:rsidP="00F43156">
      <w:pPr>
        <w:pStyle w:val="Heading1"/>
      </w:pPr>
      <w:r>
        <w:t>Instructional Methodologies:</w:t>
      </w:r>
    </w:p>
    <w:p w:rsidR="00A56560" w:rsidRDefault="00A56560" w:rsidP="00A56560">
      <w:pPr>
        <w:spacing w:after="0" w:line="240" w:lineRule="auto"/>
        <w:rPr>
          <w:rFonts w:cs="Times New Roman"/>
        </w:rPr>
      </w:pPr>
      <w:r w:rsidRPr="00893B41">
        <w:rPr>
          <w:rFonts w:cs="Times New Roman"/>
        </w:rPr>
        <w:t xml:space="preserve">This course will be taught in an open lab, lecture, question and answer format.  </w:t>
      </w:r>
    </w:p>
    <w:p w:rsidR="00430803" w:rsidRPr="00682472" w:rsidRDefault="00430803" w:rsidP="00430803">
      <w:pPr>
        <w:pStyle w:val="Heading1"/>
      </w:pPr>
      <w:r w:rsidRPr="00682472">
        <w:t xml:space="preserve">Learning Outcomes </w:t>
      </w:r>
    </w:p>
    <w:p w:rsidR="00430803" w:rsidRPr="00682472" w:rsidRDefault="00430803" w:rsidP="00430803">
      <w:r w:rsidRPr="00682472">
        <w:t>Upon completing of this course, students will be able to:</w:t>
      </w:r>
    </w:p>
    <w:p w:rsidR="00430803" w:rsidRPr="00430803" w:rsidRDefault="00430803" w:rsidP="00430803">
      <w:pPr>
        <w:pStyle w:val="ListBullet"/>
        <w:numPr>
          <w:ilvl w:val="0"/>
          <w:numId w:val="3"/>
        </w:numPr>
      </w:pPr>
      <w:r w:rsidRPr="00430803">
        <w:t xml:space="preserve">Describe the role of a server operating system and compare the Windows server 2012/R2 editions. </w:t>
      </w:r>
    </w:p>
    <w:p w:rsidR="00430803" w:rsidRPr="00430803" w:rsidRDefault="00430803" w:rsidP="00430803">
      <w:pPr>
        <w:pStyle w:val="ListBullet"/>
        <w:numPr>
          <w:ilvl w:val="0"/>
          <w:numId w:val="3"/>
        </w:numPr>
      </w:pPr>
      <w:r w:rsidRPr="00430803">
        <w:t>Describe Windows Server 2012/R2 core technologies including the NTFS file system, active directory, disk management, and networking.</w:t>
      </w:r>
    </w:p>
    <w:p w:rsidR="00430803" w:rsidRPr="00430803" w:rsidRDefault="00430803" w:rsidP="00430803">
      <w:pPr>
        <w:pStyle w:val="ListBullet"/>
        <w:numPr>
          <w:ilvl w:val="0"/>
          <w:numId w:val="3"/>
        </w:numPr>
      </w:pPr>
      <w:r w:rsidRPr="00430803">
        <w:t>Describe server roles and new features in Windows Server 2012/R2.</w:t>
      </w:r>
    </w:p>
    <w:p w:rsidR="00430803" w:rsidRPr="00430803" w:rsidRDefault="00430803" w:rsidP="00430803">
      <w:pPr>
        <w:pStyle w:val="ListBullet"/>
        <w:numPr>
          <w:ilvl w:val="0"/>
          <w:numId w:val="3"/>
        </w:numPr>
      </w:pPr>
      <w:r w:rsidRPr="00430803">
        <w:t>Discuss the details of planning a Windows Server 2012/R2 installation.</w:t>
      </w:r>
    </w:p>
    <w:p w:rsidR="00430803" w:rsidRPr="00430803" w:rsidRDefault="00430803" w:rsidP="00430803">
      <w:pPr>
        <w:pStyle w:val="ListBullet"/>
        <w:numPr>
          <w:ilvl w:val="0"/>
          <w:numId w:val="3"/>
        </w:numPr>
      </w:pPr>
      <w:r w:rsidRPr="00430803">
        <w:lastRenderedPageBreak/>
        <w:t>Explain how to work with server roles in features and how to configure server modes.</w:t>
      </w:r>
    </w:p>
    <w:p w:rsidR="00430803" w:rsidRPr="00430803" w:rsidRDefault="00430803" w:rsidP="00430803">
      <w:pPr>
        <w:pStyle w:val="ListBullet"/>
        <w:numPr>
          <w:ilvl w:val="0"/>
          <w:numId w:val="3"/>
        </w:numPr>
      </w:pPr>
      <w:r w:rsidRPr="00430803">
        <w:t>Understand how to manipulate servers remotely with new server features in server manager.</w:t>
      </w:r>
    </w:p>
    <w:p w:rsidR="00430803" w:rsidRPr="00430803" w:rsidRDefault="00430803" w:rsidP="00430803">
      <w:pPr>
        <w:pStyle w:val="ListBullet"/>
        <w:numPr>
          <w:ilvl w:val="0"/>
          <w:numId w:val="3"/>
        </w:numPr>
      </w:pPr>
      <w:r w:rsidRPr="00430803">
        <w:t>Describe storage provisioning, including working with local and virtual disks and using disk partition and format options.</w:t>
      </w:r>
    </w:p>
    <w:p w:rsidR="00430803" w:rsidRPr="00430803" w:rsidRDefault="00430803" w:rsidP="00430803">
      <w:pPr>
        <w:pStyle w:val="ListBullet"/>
        <w:numPr>
          <w:ilvl w:val="0"/>
          <w:numId w:val="3"/>
        </w:numPr>
      </w:pPr>
      <w:r w:rsidRPr="00430803">
        <w:t xml:space="preserve">Implement file and printer sharing. </w:t>
      </w:r>
    </w:p>
    <w:p w:rsidR="00430803" w:rsidRPr="00430803" w:rsidRDefault="00430803" w:rsidP="00430803">
      <w:pPr>
        <w:pStyle w:val="ListBullet"/>
        <w:numPr>
          <w:ilvl w:val="0"/>
          <w:numId w:val="3"/>
        </w:numPr>
      </w:pPr>
      <w:r w:rsidRPr="00430803">
        <w:t>Secure access to files by using NTFS permissions and describe how permission inheritance works.</w:t>
      </w:r>
    </w:p>
    <w:p w:rsidR="00430803" w:rsidRPr="00430803" w:rsidRDefault="00430803" w:rsidP="00430803">
      <w:pPr>
        <w:pStyle w:val="ListBullet"/>
        <w:numPr>
          <w:ilvl w:val="0"/>
          <w:numId w:val="3"/>
        </w:numPr>
      </w:pPr>
      <w:r w:rsidRPr="00430803">
        <w:t>Describe the role of a directory service in a network and explain how to install Active Directory. Describe Active Directory components, such as schema and Active Directory objects, and the Active Directory structure including forests, trees, and domains.</w:t>
      </w:r>
    </w:p>
    <w:p w:rsidR="00430803" w:rsidRPr="00430803" w:rsidRDefault="00430803" w:rsidP="00430803">
      <w:pPr>
        <w:pStyle w:val="ListBullet"/>
        <w:numPr>
          <w:ilvl w:val="0"/>
          <w:numId w:val="3"/>
        </w:numPr>
      </w:pPr>
      <w:r w:rsidRPr="00430803">
        <w:t>Understand the core organizing object in Active Directory: organizational units.</w:t>
      </w:r>
    </w:p>
    <w:p w:rsidR="00430803" w:rsidRPr="00430803" w:rsidRDefault="00430803" w:rsidP="00430803">
      <w:pPr>
        <w:pStyle w:val="ListBullet"/>
        <w:numPr>
          <w:ilvl w:val="0"/>
          <w:numId w:val="3"/>
        </w:numPr>
      </w:pPr>
      <w:r w:rsidRPr="00430803">
        <w:t>Describe how to manage user accounts, group accounts, and computer accounts.</w:t>
      </w:r>
    </w:p>
    <w:p w:rsidR="00430803" w:rsidRPr="00430803" w:rsidRDefault="00430803" w:rsidP="00430803">
      <w:pPr>
        <w:pStyle w:val="ListBullet"/>
        <w:numPr>
          <w:ilvl w:val="0"/>
          <w:numId w:val="3"/>
        </w:numPr>
      </w:pPr>
      <w:r w:rsidRPr="00430803">
        <w:t xml:space="preserve">Describe the architecture of group policy and group policy objects (GPOs). </w:t>
      </w:r>
    </w:p>
    <w:p w:rsidR="00430803" w:rsidRPr="00430803" w:rsidRDefault="00430803" w:rsidP="00430803">
      <w:pPr>
        <w:pStyle w:val="ListBullet"/>
        <w:numPr>
          <w:ilvl w:val="0"/>
          <w:numId w:val="3"/>
        </w:numPr>
      </w:pPr>
      <w:r w:rsidRPr="00430803">
        <w:t>Understand how group policy replication works and how to create and link GPOs.</w:t>
      </w:r>
    </w:p>
    <w:p w:rsidR="00430803" w:rsidRPr="00430803" w:rsidRDefault="00430803" w:rsidP="00430803">
      <w:pPr>
        <w:pStyle w:val="ListBullet"/>
        <w:numPr>
          <w:ilvl w:val="0"/>
          <w:numId w:val="3"/>
        </w:numPr>
      </w:pPr>
      <w:r w:rsidRPr="00430803">
        <w:t>Understand group policy inheritance and precedents, including local GPOs.</w:t>
      </w:r>
    </w:p>
    <w:p w:rsidR="00430803" w:rsidRPr="00430803" w:rsidRDefault="00430803" w:rsidP="00430803">
      <w:pPr>
        <w:pStyle w:val="ListBullet"/>
        <w:numPr>
          <w:ilvl w:val="0"/>
          <w:numId w:val="3"/>
        </w:numPr>
      </w:pPr>
      <w:r w:rsidRPr="00430803">
        <w:t>Configure the TCP/IP protocol and its components.</w:t>
      </w:r>
    </w:p>
    <w:p w:rsidR="00430803" w:rsidRPr="00430803" w:rsidRDefault="00430803" w:rsidP="00430803">
      <w:pPr>
        <w:pStyle w:val="ListBullet"/>
        <w:numPr>
          <w:ilvl w:val="0"/>
          <w:numId w:val="3"/>
        </w:numPr>
      </w:pPr>
      <w:r w:rsidRPr="00430803">
        <w:t>Understand how to configure TCP/IP addresses and calculates subnet masks for IP V4 addresses.</w:t>
      </w:r>
    </w:p>
    <w:p w:rsidR="00430803" w:rsidRPr="00430803" w:rsidRDefault="00430803" w:rsidP="00430803">
      <w:pPr>
        <w:pStyle w:val="ListBullet"/>
        <w:numPr>
          <w:ilvl w:val="0"/>
          <w:numId w:val="3"/>
        </w:numPr>
      </w:pPr>
      <w:r w:rsidRPr="00430803">
        <w:t>Understand IPv6 addresses and how to configure IPv6 autoconfiguration.</w:t>
      </w:r>
    </w:p>
    <w:p w:rsidR="00430803" w:rsidRPr="00430803" w:rsidRDefault="00430803" w:rsidP="00430803">
      <w:pPr>
        <w:pStyle w:val="ListBullet"/>
        <w:numPr>
          <w:ilvl w:val="0"/>
          <w:numId w:val="3"/>
        </w:numPr>
      </w:pPr>
      <w:r w:rsidRPr="00430803">
        <w:t>Understand Domain Name System (DNS) and explain how to install DNS and create DNS zones.</w:t>
      </w:r>
    </w:p>
    <w:p w:rsidR="00430803" w:rsidRPr="00430803" w:rsidRDefault="00430803" w:rsidP="00430803">
      <w:pPr>
        <w:pStyle w:val="ListBullet"/>
        <w:numPr>
          <w:ilvl w:val="0"/>
          <w:numId w:val="3"/>
        </w:numPr>
      </w:pPr>
      <w:r w:rsidRPr="00430803">
        <w:t>Describe the DHCP protocol and client address leasing process.</w:t>
      </w:r>
    </w:p>
    <w:p w:rsidR="00430803" w:rsidRPr="00430803" w:rsidRDefault="00430803" w:rsidP="00430803">
      <w:pPr>
        <w:pStyle w:val="ListBullet"/>
        <w:numPr>
          <w:ilvl w:val="0"/>
          <w:numId w:val="3"/>
        </w:numPr>
      </w:pPr>
      <w:r w:rsidRPr="00430803">
        <w:t>Install and configure the DHCP server including scope configuration, DHCP reservations, and filters.</w:t>
      </w:r>
    </w:p>
    <w:p w:rsidR="00430803" w:rsidRPr="00430803" w:rsidRDefault="00430803" w:rsidP="00430803">
      <w:pPr>
        <w:pStyle w:val="ListBullet"/>
        <w:numPr>
          <w:ilvl w:val="0"/>
          <w:numId w:val="3"/>
        </w:numPr>
      </w:pPr>
      <w:r w:rsidRPr="00430803">
        <w:t>Configure virtualization with Hyper-V.</w:t>
      </w:r>
    </w:p>
    <w:p w:rsidR="00430803" w:rsidRPr="00430803" w:rsidRDefault="00430803" w:rsidP="00430803">
      <w:pPr>
        <w:pStyle w:val="ListBullet"/>
        <w:numPr>
          <w:ilvl w:val="0"/>
          <w:numId w:val="3"/>
        </w:numPr>
      </w:pPr>
      <w:r w:rsidRPr="00430803">
        <w:t>Create and configure virtual machines and virtual networks, including external, internal, and private virtual switches.</w:t>
      </w:r>
    </w:p>
    <w:p w:rsidR="00430803" w:rsidRPr="00430803" w:rsidRDefault="00430803" w:rsidP="00430803">
      <w:pPr>
        <w:pStyle w:val="ListBullet"/>
        <w:numPr>
          <w:ilvl w:val="0"/>
          <w:numId w:val="3"/>
        </w:numPr>
      </w:pPr>
      <w:r w:rsidRPr="00430803">
        <w:t>Understand virtualization features such as checkpoints, dynamic memory, and types of virtual disks.</w:t>
      </w:r>
    </w:p>
    <w:p w:rsidR="00430803" w:rsidRDefault="00430803" w:rsidP="00430803">
      <w:pPr>
        <w:pStyle w:val="Heading1"/>
      </w:pPr>
      <w:r w:rsidRPr="00682472">
        <w:t xml:space="preserve">Specific topic coverage includes: </w:t>
      </w:r>
    </w:p>
    <w:p w:rsidR="00430803" w:rsidRPr="00430803" w:rsidRDefault="00430803" w:rsidP="00430803">
      <w:pPr>
        <w:pStyle w:val="ListBullet"/>
        <w:numPr>
          <w:ilvl w:val="0"/>
          <w:numId w:val="5"/>
        </w:numPr>
        <w:rPr>
          <w:b/>
        </w:rPr>
      </w:pPr>
      <w:r w:rsidRPr="00430803">
        <w:t>Introducing Windows Server 2012/R2</w:t>
      </w:r>
    </w:p>
    <w:p w:rsidR="00430803" w:rsidRPr="00430803" w:rsidRDefault="00430803" w:rsidP="00430803">
      <w:pPr>
        <w:pStyle w:val="ListBullet"/>
        <w:numPr>
          <w:ilvl w:val="0"/>
          <w:numId w:val="4"/>
        </w:numPr>
        <w:rPr>
          <w:b/>
        </w:rPr>
      </w:pPr>
      <w:r w:rsidRPr="00430803">
        <w:t>Installing Windows Server 2012/R2</w:t>
      </w:r>
    </w:p>
    <w:p w:rsidR="00430803" w:rsidRPr="00430803" w:rsidRDefault="00430803" w:rsidP="00430803">
      <w:pPr>
        <w:pStyle w:val="ListBullet"/>
        <w:numPr>
          <w:ilvl w:val="0"/>
          <w:numId w:val="4"/>
        </w:numPr>
        <w:rPr>
          <w:b/>
        </w:rPr>
      </w:pPr>
      <w:r w:rsidRPr="00430803">
        <w:t>Local and Remote Server Management</w:t>
      </w:r>
    </w:p>
    <w:p w:rsidR="00430803" w:rsidRPr="00430803" w:rsidRDefault="00430803" w:rsidP="00430803">
      <w:pPr>
        <w:pStyle w:val="ListBullet"/>
        <w:numPr>
          <w:ilvl w:val="0"/>
          <w:numId w:val="4"/>
        </w:numPr>
        <w:rPr>
          <w:b/>
        </w:rPr>
      </w:pPr>
      <w:r w:rsidRPr="00430803">
        <w:t>Configuring Server Storage</w:t>
      </w:r>
    </w:p>
    <w:p w:rsidR="00430803" w:rsidRPr="00430803" w:rsidRDefault="00430803" w:rsidP="00430803">
      <w:pPr>
        <w:pStyle w:val="ListBullet"/>
        <w:numPr>
          <w:ilvl w:val="0"/>
          <w:numId w:val="4"/>
        </w:numPr>
        <w:rPr>
          <w:b/>
        </w:rPr>
      </w:pPr>
      <w:r w:rsidRPr="00430803">
        <w:t xml:space="preserve">File and Printer Services </w:t>
      </w:r>
    </w:p>
    <w:p w:rsidR="00430803" w:rsidRPr="00430803" w:rsidRDefault="00430803" w:rsidP="00430803">
      <w:pPr>
        <w:pStyle w:val="ListBullet"/>
        <w:numPr>
          <w:ilvl w:val="0"/>
          <w:numId w:val="4"/>
        </w:numPr>
        <w:rPr>
          <w:b/>
        </w:rPr>
      </w:pPr>
      <w:r w:rsidRPr="00430803">
        <w:t>Introducing Active Directory</w:t>
      </w:r>
    </w:p>
    <w:p w:rsidR="00430803" w:rsidRPr="00430803" w:rsidRDefault="00430803" w:rsidP="00430803">
      <w:pPr>
        <w:pStyle w:val="ListBullet"/>
        <w:numPr>
          <w:ilvl w:val="0"/>
          <w:numId w:val="4"/>
        </w:numPr>
        <w:rPr>
          <w:b/>
        </w:rPr>
      </w:pPr>
      <w:r w:rsidRPr="00430803">
        <w:t>Managing OUs and Active Directory Accounts</w:t>
      </w:r>
    </w:p>
    <w:p w:rsidR="00430803" w:rsidRPr="00430803" w:rsidRDefault="00430803" w:rsidP="00430803">
      <w:pPr>
        <w:pStyle w:val="ListBullet"/>
        <w:numPr>
          <w:ilvl w:val="0"/>
          <w:numId w:val="4"/>
        </w:numPr>
        <w:rPr>
          <w:b/>
        </w:rPr>
      </w:pPr>
      <w:r w:rsidRPr="00430803">
        <w:t>Configuring Group Policies</w:t>
      </w:r>
    </w:p>
    <w:p w:rsidR="00430803" w:rsidRPr="00430803" w:rsidRDefault="00430803" w:rsidP="00430803">
      <w:pPr>
        <w:pStyle w:val="ListBullet"/>
        <w:numPr>
          <w:ilvl w:val="0"/>
          <w:numId w:val="4"/>
        </w:numPr>
        <w:rPr>
          <w:b/>
        </w:rPr>
      </w:pPr>
      <w:r w:rsidRPr="00430803">
        <w:t>Configuring TCP/IP</w:t>
      </w:r>
    </w:p>
    <w:p w:rsidR="00430803" w:rsidRPr="00430803" w:rsidRDefault="00430803" w:rsidP="00430803">
      <w:pPr>
        <w:pStyle w:val="ListBullet"/>
        <w:numPr>
          <w:ilvl w:val="0"/>
          <w:numId w:val="4"/>
        </w:numPr>
        <w:rPr>
          <w:b/>
        </w:rPr>
      </w:pPr>
      <w:r w:rsidRPr="00430803">
        <w:t>Configuring DNS</w:t>
      </w:r>
    </w:p>
    <w:p w:rsidR="00430803" w:rsidRPr="00430803" w:rsidRDefault="00430803" w:rsidP="00430803">
      <w:pPr>
        <w:pStyle w:val="ListBullet"/>
        <w:numPr>
          <w:ilvl w:val="0"/>
          <w:numId w:val="4"/>
        </w:numPr>
        <w:rPr>
          <w:b/>
        </w:rPr>
      </w:pPr>
      <w:r w:rsidRPr="00430803">
        <w:t>Configuring Dynamic Host Configuration Protocol</w:t>
      </w:r>
    </w:p>
    <w:p w:rsidR="00430803" w:rsidRPr="00430803" w:rsidRDefault="00430803" w:rsidP="00430803">
      <w:pPr>
        <w:pStyle w:val="ListBullet"/>
        <w:numPr>
          <w:ilvl w:val="0"/>
          <w:numId w:val="4"/>
        </w:numPr>
        <w:rPr>
          <w:b/>
        </w:rPr>
        <w:sectPr w:rsidR="00430803" w:rsidRPr="00430803" w:rsidSect="00430803">
          <w:pgSz w:w="12240" w:h="15840"/>
          <w:pgMar w:top="900" w:right="1440" w:bottom="810" w:left="1440" w:header="720" w:footer="720" w:gutter="0"/>
          <w:cols w:space="720"/>
          <w:docGrid w:linePitch="360"/>
        </w:sectPr>
      </w:pPr>
      <w:r w:rsidRPr="00430803">
        <w:t>Configuring Virtualization with Hyper-V</w:t>
      </w:r>
    </w:p>
    <w:p w:rsidR="00430803" w:rsidRPr="00430803" w:rsidRDefault="00430803" w:rsidP="00430803">
      <w:pPr>
        <w:pStyle w:val="ListBullet"/>
        <w:rPr>
          <w:b/>
        </w:rPr>
      </w:pPr>
    </w:p>
    <w:p w:rsidR="00A56560" w:rsidRPr="00A56560" w:rsidRDefault="00A56560" w:rsidP="00A56560">
      <w:pPr>
        <w:rPr>
          <w:rStyle w:val="Strong"/>
        </w:rPr>
      </w:pPr>
      <w:r w:rsidRPr="00A56560">
        <w:rPr>
          <w:rStyle w:val="Strong"/>
        </w:rPr>
        <w:t>Schedule</w:t>
      </w:r>
    </w:p>
    <w:p w:rsidR="00A56560" w:rsidRDefault="00A56560" w:rsidP="00A56560">
      <w:pPr>
        <w:spacing w:after="0" w:line="240" w:lineRule="auto"/>
        <w:rPr>
          <w:rFonts w:eastAsia="Times New Roman" w:cs="Times New Roman"/>
        </w:rPr>
      </w:pPr>
      <w:r w:rsidRPr="00893B41">
        <w:rPr>
          <w:rFonts w:eastAsia="Times New Roman" w:cs="Times New Roman"/>
        </w:rPr>
        <w:t>Note: This schedule is subject to some changes/modifications per Instructor -- This offered as only a study guide. The pace of each class differs according to the instructional needs of the students in the class.</w:t>
      </w:r>
    </w:p>
    <w:p w:rsidR="00430803" w:rsidRDefault="00430803" w:rsidP="00A56560">
      <w:pPr>
        <w:spacing w:after="0" w:line="240" w:lineRule="auto"/>
        <w:rPr>
          <w:rFonts w:cs="Times New Roman"/>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320"/>
        <w:gridCol w:w="1620"/>
        <w:gridCol w:w="1980"/>
      </w:tblGrid>
      <w:tr w:rsidR="00430803" w:rsidRPr="00682472" w:rsidTr="00430803">
        <w:trPr>
          <w:trHeight w:val="782"/>
          <w:tblHeader/>
          <w:jc w:val="center"/>
        </w:trPr>
        <w:tc>
          <w:tcPr>
            <w:tcW w:w="900" w:type="dxa"/>
            <w:vAlign w:val="center"/>
          </w:tcPr>
          <w:p w:rsidR="00430803" w:rsidRPr="00430803" w:rsidRDefault="00430803" w:rsidP="00430803">
            <w:pPr>
              <w:rPr>
                <w:rStyle w:val="Strong"/>
              </w:rPr>
            </w:pPr>
            <w:r w:rsidRPr="00430803">
              <w:rPr>
                <w:rStyle w:val="Strong"/>
              </w:rPr>
              <w:t>Unit</w:t>
            </w:r>
          </w:p>
        </w:tc>
        <w:tc>
          <w:tcPr>
            <w:tcW w:w="4320" w:type="dxa"/>
            <w:vAlign w:val="center"/>
          </w:tcPr>
          <w:p w:rsidR="00430803" w:rsidRPr="00430803" w:rsidRDefault="00430803" w:rsidP="00430803">
            <w:pPr>
              <w:rPr>
                <w:rStyle w:val="Strong"/>
              </w:rPr>
            </w:pPr>
            <w:r w:rsidRPr="00430803">
              <w:rPr>
                <w:rStyle w:val="Strong"/>
              </w:rPr>
              <w:t>Topics</w:t>
            </w:r>
          </w:p>
        </w:tc>
        <w:tc>
          <w:tcPr>
            <w:tcW w:w="1620" w:type="dxa"/>
            <w:vAlign w:val="center"/>
          </w:tcPr>
          <w:p w:rsidR="00430803" w:rsidRPr="00430803" w:rsidRDefault="00430803" w:rsidP="00430803">
            <w:pPr>
              <w:rPr>
                <w:rStyle w:val="Strong"/>
              </w:rPr>
            </w:pPr>
            <w:r w:rsidRPr="00430803">
              <w:rPr>
                <w:rStyle w:val="Strong"/>
              </w:rPr>
              <w:t>Chapter</w:t>
            </w:r>
          </w:p>
          <w:p w:rsidR="00430803" w:rsidRPr="00430803" w:rsidRDefault="00430803" w:rsidP="00430803">
            <w:pPr>
              <w:rPr>
                <w:rStyle w:val="Strong"/>
              </w:rPr>
            </w:pPr>
            <w:r w:rsidRPr="00430803">
              <w:rPr>
                <w:rStyle w:val="Strong"/>
              </w:rPr>
              <w:t>Readings</w:t>
            </w:r>
          </w:p>
        </w:tc>
        <w:tc>
          <w:tcPr>
            <w:tcW w:w="1980" w:type="dxa"/>
            <w:vAlign w:val="center"/>
          </w:tcPr>
          <w:p w:rsidR="00430803" w:rsidRPr="00430803" w:rsidRDefault="00430803" w:rsidP="00430803">
            <w:pPr>
              <w:rPr>
                <w:rStyle w:val="Strong"/>
              </w:rPr>
            </w:pPr>
            <w:r w:rsidRPr="00430803">
              <w:rPr>
                <w:rStyle w:val="Strong"/>
              </w:rPr>
              <w:t>Exams</w:t>
            </w:r>
          </w:p>
        </w:tc>
      </w:tr>
      <w:tr w:rsidR="00430803" w:rsidRPr="00682472" w:rsidTr="00904A58">
        <w:trPr>
          <w:jc w:val="center"/>
        </w:trPr>
        <w:tc>
          <w:tcPr>
            <w:tcW w:w="900" w:type="dxa"/>
            <w:vAlign w:val="center"/>
          </w:tcPr>
          <w:p w:rsidR="00430803" w:rsidRPr="00682472" w:rsidRDefault="00430803" w:rsidP="00430803">
            <w:r w:rsidRPr="00682472">
              <w:t>1</w:t>
            </w:r>
          </w:p>
        </w:tc>
        <w:tc>
          <w:tcPr>
            <w:tcW w:w="4320" w:type="dxa"/>
          </w:tcPr>
          <w:p w:rsidR="00430803" w:rsidRPr="00682472" w:rsidRDefault="00430803" w:rsidP="00430803">
            <w:r w:rsidRPr="00682472">
              <w:t>Introducing Windows Server 2012/R2</w:t>
            </w:r>
          </w:p>
        </w:tc>
        <w:tc>
          <w:tcPr>
            <w:tcW w:w="1620" w:type="dxa"/>
          </w:tcPr>
          <w:p w:rsidR="00430803" w:rsidRPr="00682472" w:rsidRDefault="00430803" w:rsidP="00430803">
            <w:pPr>
              <w:rPr>
                <w:color w:val="000000"/>
              </w:rPr>
            </w:pPr>
            <w:r w:rsidRPr="00682472">
              <w:rPr>
                <w:color w:val="000000"/>
              </w:rPr>
              <w:t>Chapter 1</w:t>
            </w:r>
          </w:p>
        </w:tc>
        <w:tc>
          <w:tcPr>
            <w:tcW w:w="1980" w:type="dxa"/>
          </w:tcPr>
          <w:p w:rsidR="00430803" w:rsidRPr="00682472" w:rsidRDefault="00430803" w:rsidP="00430803">
            <w:pPr>
              <w:rPr>
                <w:color w:val="000000"/>
              </w:rPr>
            </w:pPr>
            <w:r>
              <w:rPr>
                <w:color w:val="000000"/>
              </w:rPr>
              <w:t>None</w:t>
            </w:r>
          </w:p>
        </w:tc>
      </w:tr>
      <w:tr w:rsidR="00430803" w:rsidRPr="00682472" w:rsidTr="00904A58">
        <w:trPr>
          <w:jc w:val="center"/>
        </w:trPr>
        <w:tc>
          <w:tcPr>
            <w:tcW w:w="900" w:type="dxa"/>
            <w:vAlign w:val="center"/>
          </w:tcPr>
          <w:p w:rsidR="00430803" w:rsidRPr="00682472" w:rsidRDefault="00430803" w:rsidP="00430803">
            <w:r w:rsidRPr="00682472">
              <w:t>2</w:t>
            </w:r>
          </w:p>
        </w:tc>
        <w:tc>
          <w:tcPr>
            <w:tcW w:w="4320" w:type="dxa"/>
          </w:tcPr>
          <w:p w:rsidR="00430803" w:rsidRPr="00682472" w:rsidRDefault="00430803" w:rsidP="00430803">
            <w:r w:rsidRPr="00682472">
              <w:t>Installing Windows Server 2012/R2</w:t>
            </w:r>
          </w:p>
        </w:tc>
        <w:tc>
          <w:tcPr>
            <w:tcW w:w="1620" w:type="dxa"/>
          </w:tcPr>
          <w:p w:rsidR="00430803" w:rsidRPr="00682472" w:rsidRDefault="00430803" w:rsidP="00430803">
            <w:pPr>
              <w:rPr>
                <w:color w:val="000000"/>
              </w:rPr>
            </w:pPr>
            <w:r w:rsidRPr="00682472">
              <w:rPr>
                <w:color w:val="000000"/>
              </w:rPr>
              <w:t>Chapter 2</w:t>
            </w:r>
          </w:p>
        </w:tc>
        <w:tc>
          <w:tcPr>
            <w:tcW w:w="1980" w:type="dxa"/>
          </w:tcPr>
          <w:p w:rsidR="00430803" w:rsidRPr="00682472" w:rsidRDefault="00430803" w:rsidP="00430803">
            <w:pPr>
              <w:rPr>
                <w:color w:val="000000"/>
              </w:rPr>
            </w:pPr>
            <w:r>
              <w:rPr>
                <w:color w:val="000000"/>
              </w:rPr>
              <w:t>None</w:t>
            </w:r>
          </w:p>
        </w:tc>
      </w:tr>
      <w:tr w:rsidR="00430803" w:rsidRPr="00682472" w:rsidTr="00904A58">
        <w:trPr>
          <w:jc w:val="center"/>
        </w:trPr>
        <w:tc>
          <w:tcPr>
            <w:tcW w:w="900" w:type="dxa"/>
            <w:vAlign w:val="center"/>
          </w:tcPr>
          <w:p w:rsidR="00430803" w:rsidRPr="00682472" w:rsidRDefault="00430803" w:rsidP="00430803">
            <w:r w:rsidRPr="00682472">
              <w:t>3</w:t>
            </w:r>
          </w:p>
        </w:tc>
        <w:tc>
          <w:tcPr>
            <w:tcW w:w="4320" w:type="dxa"/>
          </w:tcPr>
          <w:p w:rsidR="00430803" w:rsidRPr="00682472" w:rsidRDefault="00430803" w:rsidP="00430803">
            <w:r w:rsidRPr="00682472">
              <w:t>Local and Remote Server Management</w:t>
            </w:r>
          </w:p>
        </w:tc>
        <w:tc>
          <w:tcPr>
            <w:tcW w:w="1620" w:type="dxa"/>
          </w:tcPr>
          <w:p w:rsidR="00430803" w:rsidRPr="00682472" w:rsidRDefault="00430803" w:rsidP="00430803">
            <w:pPr>
              <w:rPr>
                <w:color w:val="000000"/>
              </w:rPr>
            </w:pPr>
            <w:r w:rsidRPr="00682472">
              <w:rPr>
                <w:color w:val="000000"/>
              </w:rPr>
              <w:t>Chapter 3</w:t>
            </w:r>
          </w:p>
        </w:tc>
        <w:tc>
          <w:tcPr>
            <w:tcW w:w="1980" w:type="dxa"/>
          </w:tcPr>
          <w:p w:rsidR="00430803" w:rsidRPr="00682472" w:rsidRDefault="00430803" w:rsidP="00430803">
            <w:pPr>
              <w:rPr>
                <w:color w:val="000000"/>
              </w:rPr>
            </w:pPr>
            <w:r>
              <w:rPr>
                <w:color w:val="000000"/>
              </w:rPr>
              <w:t>None</w:t>
            </w:r>
          </w:p>
        </w:tc>
      </w:tr>
      <w:tr w:rsidR="00430803" w:rsidRPr="00682472" w:rsidTr="00904A58">
        <w:trPr>
          <w:jc w:val="center"/>
        </w:trPr>
        <w:tc>
          <w:tcPr>
            <w:tcW w:w="900" w:type="dxa"/>
            <w:vAlign w:val="center"/>
          </w:tcPr>
          <w:p w:rsidR="00430803" w:rsidRPr="00682472" w:rsidRDefault="00430803" w:rsidP="00430803">
            <w:r w:rsidRPr="00682472">
              <w:t>4</w:t>
            </w:r>
          </w:p>
        </w:tc>
        <w:tc>
          <w:tcPr>
            <w:tcW w:w="4320" w:type="dxa"/>
          </w:tcPr>
          <w:p w:rsidR="00430803" w:rsidRPr="00682472" w:rsidRDefault="00430803" w:rsidP="00430803">
            <w:r w:rsidRPr="00682472">
              <w:t>Configuring Server Storage</w:t>
            </w:r>
          </w:p>
        </w:tc>
        <w:tc>
          <w:tcPr>
            <w:tcW w:w="1620" w:type="dxa"/>
          </w:tcPr>
          <w:p w:rsidR="00430803" w:rsidRPr="00682472" w:rsidRDefault="00430803" w:rsidP="00430803">
            <w:pPr>
              <w:rPr>
                <w:color w:val="000000"/>
              </w:rPr>
            </w:pPr>
            <w:r w:rsidRPr="00682472">
              <w:rPr>
                <w:color w:val="000000"/>
              </w:rPr>
              <w:t>Chapter 4</w:t>
            </w:r>
          </w:p>
        </w:tc>
        <w:tc>
          <w:tcPr>
            <w:tcW w:w="1980" w:type="dxa"/>
          </w:tcPr>
          <w:p w:rsidR="00430803" w:rsidRPr="00682472" w:rsidRDefault="00430803" w:rsidP="00430803">
            <w:pPr>
              <w:rPr>
                <w:color w:val="000000"/>
              </w:rPr>
            </w:pPr>
            <w:r>
              <w:rPr>
                <w:color w:val="000000"/>
              </w:rPr>
              <w:t>None</w:t>
            </w:r>
          </w:p>
        </w:tc>
      </w:tr>
      <w:tr w:rsidR="00430803" w:rsidRPr="00682472" w:rsidTr="00904A58">
        <w:trPr>
          <w:jc w:val="center"/>
        </w:trPr>
        <w:tc>
          <w:tcPr>
            <w:tcW w:w="900" w:type="dxa"/>
            <w:vAlign w:val="center"/>
          </w:tcPr>
          <w:p w:rsidR="00430803" w:rsidRPr="00682472" w:rsidRDefault="00430803" w:rsidP="00430803">
            <w:r w:rsidRPr="00682472">
              <w:t>5</w:t>
            </w:r>
          </w:p>
        </w:tc>
        <w:tc>
          <w:tcPr>
            <w:tcW w:w="4320" w:type="dxa"/>
          </w:tcPr>
          <w:p w:rsidR="00430803" w:rsidRPr="00682472" w:rsidRDefault="00430803" w:rsidP="00430803">
            <w:r w:rsidRPr="00682472">
              <w:t xml:space="preserve">File and Printer Services </w:t>
            </w:r>
          </w:p>
        </w:tc>
        <w:tc>
          <w:tcPr>
            <w:tcW w:w="1620" w:type="dxa"/>
          </w:tcPr>
          <w:p w:rsidR="00430803" w:rsidRPr="00682472" w:rsidRDefault="00430803" w:rsidP="00430803">
            <w:pPr>
              <w:rPr>
                <w:color w:val="000000"/>
              </w:rPr>
            </w:pPr>
            <w:r w:rsidRPr="00682472">
              <w:rPr>
                <w:color w:val="000000"/>
              </w:rPr>
              <w:t>Chapter 5</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107"/>
          <w:jc w:val="center"/>
        </w:trPr>
        <w:tc>
          <w:tcPr>
            <w:tcW w:w="900" w:type="dxa"/>
            <w:vAlign w:val="center"/>
          </w:tcPr>
          <w:p w:rsidR="00430803" w:rsidRPr="00682472" w:rsidRDefault="00430803" w:rsidP="00430803">
            <w:r w:rsidRPr="00682472">
              <w:t>6</w:t>
            </w:r>
          </w:p>
        </w:tc>
        <w:tc>
          <w:tcPr>
            <w:tcW w:w="4320" w:type="dxa"/>
          </w:tcPr>
          <w:p w:rsidR="00430803" w:rsidRPr="00682472" w:rsidRDefault="00430803" w:rsidP="00430803">
            <w:r w:rsidRPr="00682472">
              <w:t>Introducing Active Directory</w:t>
            </w:r>
          </w:p>
        </w:tc>
        <w:tc>
          <w:tcPr>
            <w:tcW w:w="1620" w:type="dxa"/>
          </w:tcPr>
          <w:p w:rsidR="00430803" w:rsidRPr="00682472" w:rsidRDefault="00430803" w:rsidP="00430803">
            <w:pPr>
              <w:rPr>
                <w:color w:val="000000"/>
              </w:rPr>
            </w:pPr>
            <w:r w:rsidRPr="00682472">
              <w:rPr>
                <w:color w:val="000000"/>
              </w:rPr>
              <w:t>Chapter 6</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242"/>
          <w:jc w:val="center"/>
        </w:trPr>
        <w:tc>
          <w:tcPr>
            <w:tcW w:w="900" w:type="dxa"/>
            <w:vAlign w:val="center"/>
          </w:tcPr>
          <w:p w:rsidR="00430803" w:rsidRPr="00682472" w:rsidRDefault="00430803" w:rsidP="00430803"/>
        </w:tc>
        <w:tc>
          <w:tcPr>
            <w:tcW w:w="4320" w:type="dxa"/>
          </w:tcPr>
          <w:p w:rsidR="00430803" w:rsidRPr="00682472" w:rsidRDefault="00430803" w:rsidP="00430803">
            <w:r w:rsidRPr="00682472">
              <w:t>Review</w:t>
            </w:r>
          </w:p>
        </w:tc>
        <w:tc>
          <w:tcPr>
            <w:tcW w:w="1620" w:type="dxa"/>
          </w:tcPr>
          <w:p w:rsidR="00430803" w:rsidRPr="00682472" w:rsidRDefault="00430803" w:rsidP="00430803">
            <w:pPr>
              <w:rPr>
                <w:color w:val="000000"/>
              </w:rPr>
            </w:pPr>
          </w:p>
        </w:tc>
        <w:tc>
          <w:tcPr>
            <w:tcW w:w="1980" w:type="dxa"/>
          </w:tcPr>
          <w:p w:rsidR="00430803" w:rsidRPr="00682472" w:rsidRDefault="00430803" w:rsidP="00430803">
            <w:pPr>
              <w:rPr>
                <w:color w:val="000000"/>
              </w:rPr>
            </w:pPr>
            <w:r w:rsidRPr="00682472">
              <w:rPr>
                <w:color w:val="000000"/>
              </w:rPr>
              <w:t>Mid-term Exam</w:t>
            </w:r>
          </w:p>
        </w:tc>
      </w:tr>
      <w:tr w:rsidR="00430803" w:rsidRPr="00682472" w:rsidTr="00904A58">
        <w:trPr>
          <w:trHeight w:val="107"/>
          <w:jc w:val="center"/>
        </w:trPr>
        <w:tc>
          <w:tcPr>
            <w:tcW w:w="900" w:type="dxa"/>
            <w:vAlign w:val="center"/>
          </w:tcPr>
          <w:p w:rsidR="00430803" w:rsidRPr="00682472" w:rsidRDefault="00430803" w:rsidP="00430803">
            <w:r w:rsidRPr="00682472">
              <w:t>7</w:t>
            </w:r>
          </w:p>
        </w:tc>
        <w:tc>
          <w:tcPr>
            <w:tcW w:w="4320" w:type="dxa"/>
          </w:tcPr>
          <w:p w:rsidR="00430803" w:rsidRPr="00682472" w:rsidRDefault="00430803" w:rsidP="00430803">
            <w:r w:rsidRPr="00682472">
              <w:t>Managing OUs and Active Directory Accounts</w:t>
            </w:r>
          </w:p>
        </w:tc>
        <w:tc>
          <w:tcPr>
            <w:tcW w:w="1620" w:type="dxa"/>
          </w:tcPr>
          <w:p w:rsidR="00430803" w:rsidRPr="00682472" w:rsidRDefault="00430803" w:rsidP="00430803">
            <w:pPr>
              <w:rPr>
                <w:color w:val="000000"/>
              </w:rPr>
            </w:pPr>
            <w:r w:rsidRPr="00682472">
              <w:rPr>
                <w:color w:val="000000"/>
              </w:rPr>
              <w:t>Chapter 7</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107"/>
          <w:jc w:val="center"/>
        </w:trPr>
        <w:tc>
          <w:tcPr>
            <w:tcW w:w="900" w:type="dxa"/>
            <w:vAlign w:val="center"/>
          </w:tcPr>
          <w:p w:rsidR="00430803" w:rsidRPr="00682472" w:rsidRDefault="00430803" w:rsidP="00430803">
            <w:r w:rsidRPr="00682472">
              <w:t>8</w:t>
            </w:r>
          </w:p>
        </w:tc>
        <w:tc>
          <w:tcPr>
            <w:tcW w:w="4320" w:type="dxa"/>
          </w:tcPr>
          <w:p w:rsidR="00430803" w:rsidRPr="00682472" w:rsidRDefault="00430803" w:rsidP="00430803">
            <w:r w:rsidRPr="00682472">
              <w:t>Configuring Group Policies</w:t>
            </w:r>
          </w:p>
        </w:tc>
        <w:tc>
          <w:tcPr>
            <w:tcW w:w="1620" w:type="dxa"/>
          </w:tcPr>
          <w:p w:rsidR="00430803" w:rsidRPr="00682472" w:rsidRDefault="00430803" w:rsidP="00430803">
            <w:pPr>
              <w:rPr>
                <w:rFonts w:cs="Times New Roman"/>
              </w:rPr>
            </w:pPr>
            <w:r w:rsidRPr="00682472">
              <w:rPr>
                <w:rFonts w:cs="Times New Roman"/>
                <w:color w:val="000000"/>
              </w:rPr>
              <w:t>Chapter 8</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107"/>
          <w:jc w:val="center"/>
        </w:trPr>
        <w:tc>
          <w:tcPr>
            <w:tcW w:w="900" w:type="dxa"/>
            <w:vAlign w:val="center"/>
          </w:tcPr>
          <w:p w:rsidR="00430803" w:rsidRPr="00682472" w:rsidRDefault="00430803" w:rsidP="00430803">
            <w:r w:rsidRPr="00682472">
              <w:t>9</w:t>
            </w:r>
          </w:p>
        </w:tc>
        <w:tc>
          <w:tcPr>
            <w:tcW w:w="4320" w:type="dxa"/>
          </w:tcPr>
          <w:p w:rsidR="00430803" w:rsidRPr="00682472" w:rsidRDefault="00430803" w:rsidP="00430803">
            <w:r w:rsidRPr="00682472">
              <w:t>Configuring TCP/IP</w:t>
            </w:r>
          </w:p>
        </w:tc>
        <w:tc>
          <w:tcPr>
            <w:tcW w:w="1620" w:type="dxa"/>
          </w:tcPr>
          <w:p w:rsidR="00430803" w:rsidRPr="00682472" w:rsidRDefault="00430803" w:rsidP="00430803">
            <w:pPr>
              <w:rPr>
                <w:rFonts w:cs="Times New Roman"/>
              </w:rPr>
            </w:pPr>
            <w:r w:rsidRPr="00682472">
              <w:rPr>
                <w:rFonts w:cs="Times New Roman"/>
                <w:color w:val="000000"/>
              </w:rPr>
              <w:t>Chapter 9</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107"/>
          <w:jc w:val="center"/>
        </w:trPr>
        <w:tc>
          <w:tcPr>
            <w:tcW w:w="900" w:type="dxa"/>
            <w:vAlign w:val="center"/>
          </w:tcPr>
          <w:p w:rsidR="00430803" w:rsidRPr="00682472" w:rsidRDefault="00430803" w:rsidP="00430803">
            <w:r w:rsidRPr="00682472">
              <w:t>10</w:t>
            </w:r>
          </w:p>
        </w:tc>
        <w:tc>
          <w:tcPr>
            <w:tcW w:w="4320" w:type="dxa"/>
          </w:tcPr>
          <w:p w:rsidR="00430803" w:rsidRPr="00682472" w:rsidRDefault="00430803" w:rsidP="00430803">
            <w:r w:rsidRPr="00682472">
              <w:t>Configuring DNS</w:t>
            </w:r>
          </w:p>
        </w:tc>
        <w:tc>
          <w:tcPr>
            <w:tcW w:w="1620" w:type="dxa"/>
          </w:tcPr>
          <w:p w:rsidR="00430803" w:rsidRPr="00682472" w:rsidRDefault="00430803" w:rsidP="00430803">
            <w:pPr>
              <w:rPr>
                <w:rFonts w:cs="Times New Roman"/>
              </w:rPr>
            </w:pPr>
            <w:r w:rsidRPr="00682472">
              <w:rPr>
                <w:rFonts w:cs="Times New Roman"/>
                <w:color w:val="000000"/>
              </w:rPr>
              <w:t>Chapter 10</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107"/>
          <w:jc w:val="center"/>
        </w:trPr>
        <w:tc>
          <w:tcPr>
            <w:tcW w:w="900" w:type="dxa"/>
            <w:vAlign w:val="center"/>
          </w:tcPr>
          <w:p w:rsidR="00430803" w:rsidRPr="00682472" w:rsidRDefault="00430803" w:rsidP="00430803">
            <w:r w:rsidRPr="00682472">
              <w:t>11</w:t>
            </w:r>
          </w:p>
        </w:tc>
        <w:tc>
          <w:tcPr>
            <w:tcW w:w="4320" w:type="dxa"/>
          </w:tcPr>
          <w:p w:rsidR="00430803" w:rsidRPr="00682472" w:rsidRDefault="00430803" w:rsidP="00430803">
            <w:r w:rsidRPr="00682472">
              <w:t>Configuring Dynamic Host Configuration Protocol</w:t>
            </w:r>
          </w:p>
        </w:tc>
        <w:tc>
          <w:tcPr>
            <w:tcW w:w="1620" w:type="dxa"/>
          </w:tcPr>
          <w:p w:rsidR="00430803" w:rsidRPr="00682472" w:rsidRDefault="00430803" w:rsidP="00430803">
            <w:pPr>
              <w:rPr>
                <w:rFonts w:cs="Times New Roman"/>
              </w:rPr>
            </w:pPr>
            <w:r w:rsidRPr="00682472">
              <w:rPr>
                <w:rFonts w:cs="Times New Roman"/>
                <w:color w:val="000000"/>
              </w:rPr>
              <w:t>Chapter 11</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107"/>
          <w:jc w:val="center"/>
        </w:trPr>
        <w:tc>
          <w:tcPr>
            <w:tcW w:w="900" w:type="dxa"/>
            <w:vAlign w:val="center"/>
          </w:tcPr>
          <w:p w:rsidR="00430803" w:rsidRPr="00682472" w:rsidRDefault="00430803" w:rsidP="00430803">
            <w:r w:rsidRPr="00682472">
              <w:t>12</w:t>
            </w:r>
          </w:p>
        </w:tc>
        <w:tc>
          <w:tcPr>
            <w:tcW w:w="4320" w:type="dxa"/>
          </w:tcPr>
          <w:p w:rsidR="00430803" w:rsidRPr="00682472" w:rsidRDefault="00430803" w:rsidP="00430803">
            <w:pPr>
              <w:rPr>
                <w:rFonts w:cs="Times New Roman"/>
              </w:rPr>
            </w:pPr>
            <w:r w:rsidRPr="00682472">
              <w:rPr>
                <w:rFonts w:cs="Times New Roman"/>
              </w:rPr>
              <w:t>Configuring Virtualization with Hyper-V</w:t>
            </w:r>
          </w:p>
        </w:tc>
        <w:tc>
          <w:tcPr>
            <w:tcW w:w="1620" w:type="dxa"/>
          </w:tcPr>
          <w:p w:rsidR="00430803" w:rsidRPr="00682472" w:rsidRDefault="00430803" w:rsidP="00430803">
            <w:pPr>
              <w:rPr>
                <w:rFonts w:cs="Times New Roman"/>
              </w:rPr>
            </w:pPr>
            <w:r w:rsidRPr="00682472">
              <w:rPr>
                <w:rFonts w:cs="Times New Roman"/>
                <w:color w:val="000000"/>
              </w:rPr>
              <w:t>Chapter 12</w:t>
            </w:r>
          </w:p>
        </w:tc>
        <w:tc>
          <w:tcPr>
            <w:tcW w:w="1980" w:type="dxa"/>
          </w:tcPr>
          <w:p w:rsidR="00430803" w:rsidRPr="00682472" w:rsidRDefault="00430803" w:rsidP="00430803">
            <w:pPr>
              <w:rPr>
                <w:color w:val="000000"/>
              </w:rPr>
            </w:pPr>
            <w:r>
              <w:rPr>
                <w:color w:val="000000"/>
              </w:rPr>
              <w:t>None</w:t>
            </w:r>
          </w:p>
        </w:tc>
      </w:tr>
      <w:tr w:rsidR="00430803" w:rsidRPr="00682472" w:rsidTr="00904A58">
        <w:trPr>
          <w:trHeight w:val="107"/>
          <w:jc w:val="center"/>
        </w:trPr>
        <w:tc>
          <w:tcPr>
            <w:tcW w:w="900" w:type="dxa"/>
            <w:vAlign w:val="center"/>
          </w:tcPr>
          <w:p w:rsidR="00430803" w:rsidRPr="00682472" w:rsidRDefault="00430803" w:rsidP="00430803"/>
        </w:tc>
        <w:tc>
          <w:tcPr>
            <w:tcW w:w="4320" w:type="dxa"/>
          </w:tcPr>
          <w:p w:rsidR="00430803" w:rsidRPr="00682472" w:rsidRDefault="00430803" w:rsidP="00430803">
            <w:r w:rsidRPr="00682472">
              <w:t>Review</w:t>
            </w:r>
          </w:p>
        </w:tc>
        <w:tc>
          <w:tcPr>
            <w:tcW w:w="1620" w:type="dxa"/>
          </w:tcPr>
          <w:p w:rsidR="00430803" w:rsidRPr="00682472" w:rsidRDefault="00430803" w:rsidP="00430803">
            <w:pPr>
              <w:rPr>
                <w:color w:val="000000"/>
              </w:rPr>
            </w:pPr>
          </w:p>
        </w:tc>
        <w:tc>
          <w:tcPr>
            <w:tcW w:w="1980" w:type="dxa"/>
          </w:tcPr>
          <w:p w:rsidR="00430803" w:rsidRPr="00682472" w:rsidRDefault="00430803" w:rsidP="00430803">
            <w:pPr>
              <w:rPr>
                <w:color w:val="000000"/>
              </w:rPr>
            </w:pPr>
            <w:r w:rsidRPr="00682472">
              <w:rPr>
                <w:color w:val="000000"/>
              </w:rPr>
              <w:t>Final Exam</w:t>
            </w:r>
          </w:p>
        </w:tc>
      </w:tr>
    </w:tbl>
    <w:p w:rsidR="00A56560" w:rsidRDefault="00A56560" w:rsidP="00A56560">
      <w:pPr>
        <w:spacing w:after="0" w:line="240" w:lineRule="auto"/>
        <w:rPr>
          <w:rFonts w:cs="Times New Roman"/>
        </w:rPr>
      </w:pPr>
    </w:p>
    <w:p w:rsidR="00F43156" w:rsidRDefault="00F43156" w:rsidP="00F43156">
      <w:pPr>
        <w:pStyle w:val="Heading1"/>
      </w:pPr>
      <w:r>
        <w:t>Grading:</w:t>
      </w:r>
    </w:p>
    <w:p w:rsidR="00430803" w:rsidRPr="00682472" w:rsidRDefault="00430803" w:rsidP="00430803">
      <w:pPr>
        <w:spacing w:after="0" w:line="240" w:lineRule="auto"/>
        <w:ind w:left="720"/>
        <w:rPr>
          <w:rFonts w:eastAsia="Times New Roman" w:cs="Times New Roman"/>
          <w:bCs/>
        </w:rPr>
      </w:pPr>
      <w:r w:rsidRPr="00682472">
        <w:rPr>
          <w:rFonts w:eastAsia="Times New Roman" w:cs="Times New Roman"/>
          <w:bCs/>
        </w:rPr>
        <w:t>Exams:  Midterm</w:t>
      </w:r>
      <w:r>
        <w:rPr>
          <w:rFonts w:eastAsia="Times New Roman" w:cs="Times New Roman"/>
          <w:bCs/>
        </w:rPr>
        <w:t xml:space="preserve"> – 20%,</w:t>
      </w:r>
      <w:r w:rsidRPr="00682472">
        <w:rPr>
          <w:rFonts w:eastAsia="Times New Roman" w:cs="Times New Roman"/>
          <w:bCs/>
        </w:rPr>
        <w:t xml:space="preserve"> Final – 30%</w:t>
      </w:r>
    </w:p>
    <w:p w:rsidR="00430803" w:rsidRPr="00682472" w:rsidRDefault="00430803" w:rsidP="00430803">
      <w:pPr>
        <w:spacing w:after="0" w:line="240" w:lineRule="auto"/>
        <w:rPr>
          <w:rFonts w:eastAsia="Times New Roman" w:cs="Times New Roman"/>
          <w:bCs/>
        </w:rPr>
      </w:pPr>
      <w:r w:rsidRPr="00682472">
        <w:rPr>
          <w:rFonts w:eastAsia="Times New Roman" w:cs="Times New Roman"/>
          <w:bCs/>
        </w:rPr>
        <w:tab/>
      </w:r>
      <w:r w:rsidRPr="00682472">
        <w:rPr>
          <w:rFonts w:cs="Times New Roman"/>
        </w:rPr>
        <w:t>Labs, Assessments &amp; Homework</w:t>
      </w:r>
      <w:r w:rsidRPr="00682472">
        <w:rPr>
          <w:rFonts w:eastAsia="Times New Roman" w:cs="Times New Roman"/>
          <w:bCs/>
        </w:rPr>
        <w:t>:  40%</w:t>
      </w:r>
    </w:p>
    <w:p w:rsidR="00430803" w:rsidRPr="00682472" w:rsidRDefault="00430803" w:rsidP="00430803">
      <w:pPr>
        <w:spacing w:after="0" w:line="240" w:lineRule="auto"/>
        <w:rPr>
          <w:rFonts w:eastAsia="Times New Roman" w:cs="Times New Roman"/>
          <w:bCs/>
        </w:rPr>
      </w:pPr>
      <w:r w:rsidRPr="00682472">
        <w:rPr>
          <w:rFonts w:eastAsia="Times New Roman" w:cs="Times New Roman"/>
          <w:bCs/>
        </w:rPr>
        <w:tab/>
        <w:t>Attendance and Participation:  10%</w:t>
      </w:r>
      <w:r w:rsidR="00477FC9">
        <w:rPr>
          <w:rFonts w:eastAsia="Times New Roman" w:cs="Times New Roman"/>
          <w:bCs/>
        </w:rPr>
        <w:t xml:space="preserve"> </w:t>
      </w:r>
    </w:p>
    <w:p w:rsidR="00BB4164" w:rsidRPr="00BB4164" w:rsidRDefault="00BB4164" w:rsidP="00BB4164"/>
    <w:p w:rsidR="00F43156" w:rsidRDefault="00F43156" w:rsidP="00F43156">
      <w:pPr>
        <w:pStyle w:val="Heading1"/>
      </w:pPr>
      <w:r>
        <w:t>Elements of Success:</w:t>
      </w:r>
    </w:p>
    <w:tbl>
      <w:tblPr>
        <w:tblW w:w="4600" w:type="pct"/>
        <w:jc w:val="center"/>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firstRow="1" w:lastRow="0" w:firstColumn="1" w:lastColumn="0" w:noHBand="0" w:noVBand="1"/>
        <w:tblDescription w:val="6 elements of success with descriptions"/>
      </w:tblPr>
      <w:tblGrid>
        <w:gridCol w:w="1950"/>
        <w:gridCol w:w="6646"/>
      </w:tblGrid>
      <w:tr w:rsidR="00F43156" w:rsidRPr="005B6E51" w:rsidTr="00F43156">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tcPr>
          <w:p w:rsidR="00F43156" w:rsidRPr="00F43156" w:rsidRDefault="00F43156" w:rsidP="00F43156">
            <w:pPr>
              <w:rPr>
                <w:rStyle w:val="Strong"/>
              </w:rPr>
            </w:pPr>
            <w:r w:rsidRPr="00F43156">
              <w:rPr>
                <w:rStyle w:val="Strong"/>
              </w:rPr>
              <w:t>Element</w:t>
            </w:r>
          </w:p>
        </w:tc>
        <w:tc>
          <w:tcPr>
            <w:tcW w:w="0" w:type="auto"/>
            <w:tcBorders>
              <w:top w:val="outset" w:sz="6" w:space="0" w:color="auto"/>
              <w:left w:val="outset" w:sz="6" w:space="0" w:color="auto"/>
              <w:bottom w:val="outset" w:sz="6" w:space="0" w:color="auto"/>
              <w:right w:val="outset" w:sz="6" w:space="0" w:color="auto"/>
            </w:tcBorders>
            <w:shd w:val="clear" w:color="auto" w:fill="FFFFE0"/>
          </w:tcPr>
          <w:p w:rsidR="00F43156" w:rsidRPr="00F43156" w:rsidRDefault="00F43156" w:rsidP="00F43156">
            <w:pPr>
              <w:rPr>
                <w:rStyle w:val="Strong"/>
              </w:rPr>
            </w:pPr>
            <w:r w:rsidRPr="00F43156">
              <w:rPr>
                <w:rStyle w:val="Strong"/>
              </w:rPr>
              <w:t>Description</w:t>
            </w:r>
          </w:p>
        </w:tc>
      </w:tr>
      <w:tr w:rsidR="00F43156" w:rsidRPr="005B6E51" w:rsidTr="00904A58">
        <w:trP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Accountability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Those who are accountable stand by their words and actions, taking full responsibility for what they create and for what they contribute to the community.</w:t>
            </w:r>
          </w:p>
        </w:tc>
      </w:tr>
      <w:tr w:rsidR="00F43156" w:rsidRPr="005B6E51" w:rsidTr="00904A58">
        <w:trPr>
          <w:jc w:val="center"/>
        </w:trPr>
        <w:tc>
          <w:tcPr>
            <w:tcW w:w="1950" w:type="dxa"/>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Respect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Community members who respect themselves and others help to create a safe, yet open climate of learning.</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Responsibility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Students who assume personal responsibility for their education will reach their goals. Responsible students also make contributions to their communities.</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lastRenderedPageBreak/>
              <w:t xml:space="preserve">Critical Thinking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Instructor and students will strive to improve the critical thinking skills of analysis, synthesis, and evaluation.</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Communication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Communicating effectively in oral and written forms through traditional and new media is a powerful tool for personal and career success.</w:t>
            </w:r>
          </w:p>
        </w:tc>
      </w:tr>
      <w:tr w:rsidR="00F43156" w:rsidRPr="005B6E51" w:rsidTr="00904A5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 xml:space="preserve">Collaboration </w:t>
            </w:r>
          </w:p>
        </w:tc>
        <w:tc>
          <w:tcPr>
            <w:tcW w:w="0" w:type="auto"/>
            <w:tcBorders>
              <w:top w:val="outset" w:sz="6" w:space="0" w:color="auto"/>
              <w:left w:val="outset" w:sz="6" w:space="0" w:color="auto"/>
              <w:bottom w:val="outset" w:sz="6" w:space="0" w:color="auto"/>
              <w:right w:val="outset" w:sz="6" w:space="0" w:color="auto"/>
            </w:tcBorders>
            <w:shd w:val="clear" w:color="auto" w:fill="FFFFE0"/>
            <w:hideMark/>
          </w:tcPr>
          <w:p w:rsidR="00F43156" w:rsidRPr="005B6E51" w:rsidRDefault="00F43156" w:rsidP="00F43156">
            <w:r w:rsidRPr="005B6E51">
              <w:t>Collaborative teamwork maximizes benefits to individuals and communities. When collaboration is expected, instructors will clearly indicate it. When collaboration is not identified as part of an assignment, students must demonstrate individual skills.</w:t>
            </w:r>
          </w:p>
        </w:tc>
      </w:tr>
    </w:tbl>
    <w:p w:rsidR="00F43156" w:rsidRDefault="00F43156" w:rsidP="00F43156">
      <w:pPr>
        <w:pStyle w:val="Heading1"/>
      </w:pPr>
      <w:r>
        <w:t>Late Assignments:</w:t>
      </w:r>
    </w:p>
    <w:p w:rsidR="00430803" w:rsidRDefault="00430803" w:rsidP="00430803">
      <w:pPr>
        <w:rPr>
          <w:rFonts w:eastAsia="Times New Roman"/>
          <w:bCs/>
        </w:rPr>
      </w:pPr>
      <w:r w:rsidRPr="00682472">
        <w:t>All assignments must be submitted on-time.  No late assignments will be accepted once solutions have been made available to the class for review.  The lowest “Labs, Assessments &amp; Homework” grade for each student will be dropped</w:t>
      </w:r>
      <w:r w:rsidRPr="00682472">
        <w:rPr>
          <w:rFonts w:eastAsia="Times New Roman"/>
          <w:bCs/>
        </w:rPr>
        <w:t>.</w:t>
      </w:r>
      <w:r w:rsidR="00477FC9">
        <w:rPr>
          <w:rFonts w:eastAsia="Times New Roman"/>
          <w:bCs/>
        </w:rPr>
        <w:t xml:space="preserve">  </w:t>
      </w:r>
    </w:p>
    <w:p w:rsidR="00F43156" w:rsidRDefault="00F43156" w:rsidP="00430803">
      <w:pPr>
        <w:pStyle w:val="Heading1"/>
      </w:pPr>
      <w:r>
        <w:t>Attendance:</w:t>
      </w:r>
    </w:p>
    <w:p w:rsidR="00F43156" w:rsidRPr="00F43156" w:rsidRDefault="00F43156" w:rsidP="00F43156">
      <w:r w:rsidRPr="00B85499">
        <w:rPr>
          <w:rFonts w:cs="Times New Roman"/>
        </w:rPr>
        <w:t>Please refer to the Student Handbook for the WCCC attendance policy.</w:t>
      </w:r>
      <w:r>
        <w:rPr>
          <w:rFonts w:cs="Times New Roman"/>
        </w:rPr>
        <w:t xml:space="preserve">  WCCC policy states a student may miss no more than 10% of class hours.  Due to the 3 hour block classes for this course, students may not miss more than 1 and ½ sessions.</w:t>
      </w:r>
    </w:p>
    <w:p w:rsidR="00F43156" w:rsidRDefault="00F43156" w:rsidP="00F43156">
      <w:pPr>
        <w:pStyle w:val="Heading1"/>
      </w:pPr>
      <w:r>
        <w:t>Computer Acceptable Use Policy:</w:t>
      </w:r>
    </w:p>
    <w:p w:rsidR="00F43156" w:rsidRPr="00F43156" w:rsidRDefault="00F43156" w:rsidP="00F43156">
      <w:r w:rsidRPr="005B6E51">
        <w:rPr>
          <w:rFonts w:cs="Times New Roman"/>
        </w:rPr>
        <w:t>Please refer to the Student Handbook for the WCCC Computer Acceptable Use policy</w:t>
      </w:r>
      <w:r>
        <w:rPr>
          <w:rFonts w:cs="Times New Roman"/>
        </w:rPr>
        <w:t>.  Do not store personal information or classwork on the classroom workstations</w:t>
      </w:r>
      <w:r w:rsidRPr="005B6E51">
        <w:rPr>
          <w:rFonts w:cs="Times New Roman"/>
        </w:rPr>
        <w:t>.</w:t>
      </w:r>
    </w:p>
    <w:p w:rsidR="00F43156" w:rsidRDefault="00F43156" w:rsidP="00F43156">
      <w:pPr>
        <w:pStyle w:val="Heading1"/>
      </w:pPr>
      <w:r>
        <w:t>Accessibility:</w:t>
      </w:r>
    </w:p>
    <w:p w:rsidR="00F43156" w:rsidRPr="00F43156" w:rsidRDefault="00F43156" w:rsidP="00F43156">
      <w:r w:rsidRPr="005B6E51">
        <w:rPr>
          <w:rFonts w:cs="Times New Roman"/>
        </w:rPr>
        <w:t>WCCC does not discriminate on the basis of disability in admissions to, access to, or operation of its programs, services, or activities. In accordance with Section 504 of the Rehabilitation Act of 1973 (CRF 34 Part 104) and Title II of the Americans with Disabilities Act (ADA) of 1990, WCCC is committed to helping qualified students with disabilities achieve their individual goals. Students with disabilities who may need academic accommodations should bring this to my atten</w:t>
      </w:r>
      <w:r>
        <w:rPr>
          <w:rFonts w:cs="Times New Roman"/>
        </w:rPr>
        <w:t>tion. Also, please contact (Name)</w:t>
      </w:r>
      <w:r w:rsidRPr="005B6E51">
        <w:rPr>
          <w:rFonts w:cs="Times New Roman"/>
        </w:rPr>
        <w:t>, the Coordinator of Accessibility S</w:t>
      </w:r>
      <w:r>
        <w:rPr>
          <w:rFonts w:cs="Times New Roman"/>
        </w:rPr>
        <w:t>ervices, at (Contact Info). The office of the Coordinator of Accessibility Services</w:t>
      </w:r>
      <w:r w:rsidRPr="005B6E51">
        <w:rPr>
          <w:rFonts w:cs="Times New Roman"/>
        </w:rPr>
        <w:t xml:space="preserve"> is located in the study center.</w:t>
      </w:r>
    </w:p>
    <w:p w:rsidR="00F43156" w:rsidRDefault="00F43156" w:rsidP="00F43156"/>
    <w:p w:rsidR="00F43156" w:rsidRDefault="00F43156" w:rsidP="00F43156">
      <w:pPr>
        <w:spacing w:after="0" w:line="240" w:lineRule="auto"/>
        <w:rPr>
          <w:rFonts w:eastAsia="Times New Roman" w:cs="Times New Roman"/>
          <w:b/>
          <w:bCs/>
        </w:rPr>
      </w:pPr>
      <w:bookmarkStart w:id="0" w:name="_GoBack"/>
      <w:bookmarkEnd w:id="0"/>
    </w:p>
    <w:p w:rsidR="00F43156" w:rsidRPr="00F613DB" w:rsidRDefault="00F43156" w:rsidP="00F43156">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43156" w:rsidRPr="007D78E4" w:rsidRDefault="00F43156" w:rsidP="00F43156">
      <w:pPr>
        <w:pStyle w:val="TableParagraph"/>
        <w:contextualSpacing/>
        <w:rPr>
          <w:rFonts w:eastAsia="Calibri" w:cs="Times New Roman"/>
          <w:sz w:val="16"/>
          <w:szCs w:val="16"/>
        </w:rPr>
      </w:pPr>
      <w:r w:rsidRPr="003C3D50">
        <w:rPr>
          <w:rFonts w:ascii="Helvetica" w:hAnsi="Helvetica" w:cs="Arial"/>
          <w:noProof/>
          <w:color w:val="428BCA"/>
          <w:sz w:val="21"/>
          <w:szCs w:val="21"/>
        </w:rPr>
        <w:drawing>
          <wp:inline distT="0" distB="0" distL="0" distR="0" wp14:anchorId="7D1523AC" wp14:editId="2F06717A">
            <wp:extent cx="836930" cy="293370"/>
            <wp:effectExtent l="0" t="0" r="1270" b="0"/>
            <wp:docPr id="2" name="Picture 2"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eastAsia="Calibri" w:cs="Times New Roman"/>
          <w:sz w:val="16"/>
          <w:szCs w:val="16"/>
        </w:rPr>
        <w:t>Except where otherwise noted, this work</w:t>
      </w:r>
      <w:r>
        <w:rPr>
          <w:rFonts w:eastAsia="Calibri" w:cs="Times New Roman"/>
          <w:sz w:val="16"/>
          <w:szCs w:val="16"/>
        </w:rPr>
        <w:t xml:space="preserve"> by Washington  County Community College</w:t>
      </w:r>
      <w:r w:rsidRPr="007D78E4">
        <w:rPr>
          <w:rFonts w:eastAsia="Calibri" w:cs="Times New Roman"/>
          <w:sz w:val="16"/>
          <w:szCs w:val="16"/>
        </w:rPr>
        <w:t xml:space="preserve"> is licensed under the </w:t>
      </w:r>
      <w:hyperlink r:id="rId9"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F43156" w:rsidRPr="00F43156" w:rsidRDefault="00F43156" w:rsidP="00F43156"/>
    <w:sectPr w:rsidR="00F43156" w:rsidRPr="00F43156" w:rsidSect="00F4315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D3" w:rsidRDefault="007870D3" w:rsidP="00430803">
      <w:pPr>
        <w:spacing w:after="0" w:line="240" w:lineRule="auto"/>
      </w:pPr>
      <w:r>
        <w:separator/>
      </w:r>
    </w:p>
  </w:endnote>
  <w:endnote w:type="continuationSeparator" w:id="0">
    <w:p w:rsidR="007870D3" w:rsidRDefault="007870D3" w:rsidP="0043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D3" w:rsidRDefault="007870D3" w:rsidP="00430803">
      <w:pPr>
        <w:spacing w:after="0" w:line="240" w:lineRule="auto"/>
      </w:pPr>
      <w:r>
        <w:separator/>
      </w:r>
    </w:p>
  </w:footnote>
  <w:footnote w:type="continuationSeparator" w:id="0">
    <w:p w:rsidR="007870D3" w:rsidRDefault="007870D3" w:rsidP="00430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C1A"/>
    <w:multiLevelType w:val="hybridMultilevel"/>
    <w:tmpl w:val="755016BA"/>
    <w:lvl w:ilvl="0" w:tplc="E99497DC">
      <w:start w:val="1"/>
      <w:numFmt w:val="decimal"/>
      <w:lvlText w:val="%1."/>
      <w:lvlJc w:val="left"/>
      <w:pPr>
        <w:ind w:left="720" w:hanging="36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D2082"/>
    <w:multiLevelType w:val="hybridMultilevel"/>
    <w:tmpl w:val="191E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7217A"/>
    <w:multiLevelType w:val="hybridMultilevel"/>
    <w:tmpl w:val="9FA28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00D57"/>
    <w:multiLevelType w:val="hybridMultilevel"/>
    <w:tmpl w:val="0B5E7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55238"/>
    <w:multiLevelType w:val="hybridMultilevel"/>
    <w:tmpl w:val="CF2AF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6"/>
    <w:rsid w:val="001C45C3"/>
    <w:rsid w:val="001D1C82"/>
    <w:rsid w:val="002E27C4"/>
    <w:rsid w:val="00430803"/>
    <w:rsid w:val="00477FC9"/>
    <w:rsid w:val="007659ED"/>
    <w:rsid w:val="007870D3"/>
    <w:rsid w:val="007E460E"/>
    <w:rsid w:val="00A415E5"/>
    <w:rsid w:val="00A56560"/>
    <w:rsid w:val="00BB4164"/>
    <w:rsid w:val="00F4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5373-4FC2-4422-B6EE-2684CD19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56"/>
    <w:pPr>
      <w:contextualSpacing/>
    </w:pPr>
    <w:rPr>
      <w:rFonts w:ascii="Times New Roman" w:hAnsi="Times New Roman"/>
      <w:sz w:val="24"/>
    </w:rPr>
  </w:style>
  <w:style w:type="paragraph" w:styleId="Heading1">
    <w:name w:val="heading 1"/>
    <w:basedOn w:val="Normal"/>
    <w:next w:val="Normal"/>
    <w:link w:val="Heading1Char"/>
    <w:uiPriority w:val="9"/>
    <w:qFormat/>
    <w:rsid w:val="00F43156"/>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3156"/>
    <w:pPr>
      <w:spacing w:after="0" w:line="240" w:lineRule="auto"/>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F43156"/>
    <w:rPr>
      <w:rFonts w:ascii="Times New Roman" w:eastAsiaTheme="majorEastAsia" w:hAnsi="Times New Roman" w:cstheme="majorBidi"/>
      <w:spacing w:val="-10"/>
      <w:kern w:val="28"/>
      <w:sz w:val="32"/>
      <w:szCs w:val="56"/>
    </w:rPr>
  </w:style>
  <w:style w:type="character" w:customStyle="1" w:styleId="Heading1Char">
    <w:name w:val="Heading 1 Char"/>
    <w:basedOn w:val="DefaultParagraphFont"/>
    <w:link w:val="Heading1"/>
    <w:uiPriority w:val="9"/>
    <w:rsid w:val="00F43156"/>
    <w:rPr>
      <w:rFonts w:ascii="Times New Roman" w:eastAsiaTheme="majorEastAsia" w:hAnsi="Times New Roman" w:cstheme="majorBidi"/>
      <w:sz w:val="28"/>
      <w:szCs w:val="32"/>
    </w:rPr>
  </w:style>
  <w:style w:type="paragraph" w:customStyle="1" w:styleId="TableParagraph">
    <w:name w:val="Table Paragraph"/>
    <w:basedOn w:val="Normal"/>
    <w:uiPriority w:val="1"/>
    <w:qFormat/>
    <w:rsid w:val="00F43156"/>
    <w:pPr>
      <w:widowControl w:val="0"/>
      <w:spacing w:after="0" w:line="240" w:lineRule="auto"/>
      <w:contextualSpacing w:val="0"/>
    </w:pPr>
  </w:style>
  <w:style w:type="character" w:styleId="Strong">
    <w:name w:val="Strong"/>
    <w:basedOn w:val="DefaultParagraphFont"/>
    <w:uiPriority w:val="22"/>
    <w:qFormat/>
    <w:rsid w:val="00F43156"/>
    <w:rPr>
      <w:b/>
      <w:bCs/>
    </w:rPr>
  </w:style>
  <w:style w:type="paragraph" w:styleId="NoSpacing">
    <w:name w:val="No Spacing"/>
    <w:uiPriority w:val="1"/>
    <w:qFormat/>
    <w:rsid w:val="00A56560"/>
    <w:pPr>
      <w:spacing w:after="0" w:line="240" w:lineRule="auto"/>
    </w:pPr>
  </w:style>
  <w:style w:type="paragraph" w:styleId="ListParagraph">
    <w:name w:val="List Paragraph"/>
    <w:basedOn w:val="Normal"/>
    <w:uiPriority w:val="34"/>
    <w:qFormat/>
    <w:rsid w:val="00A56560"/>
    <w:pPr>
      <w:ind w:left="720"/>
    </w:pPr>
    <w:rPr>
      <w:rFonts w:asciiTheme="minorHAnsi" w:hAnsiTheme="minorHAnsi"/>
      <w:sz w:val="22"/>
    </w:rPr>
  </w:style>
  <w:style w:type="paragraph" w:styleId="ListBullet">
    <w:name w:val="List Bullet"/>
    <w:basedOn w:val="Normal"/>
    <w:rsid w:val="00430803"/>
    <w:pPr>
      <w:spacing w:after="0" w:line="240" w:lineRule="auto"/>
      <w:contextualSpacing w:val="0"/>
    </w:pPr>
    <w:rPr>
      <w:rFonts w:eastAsia="Times New Roman" w:cs="Times New Roman"/>
      <w:bCs/>
      <w:szCs w:val="24"/>
    </w:rPr>
  </w:style>
  <w:style w:type="paragraph" w:styleId="Footer">
    <w:name w:val="footer"/>
    <w:basedOn w:val="Normal"/>
    <w:link w:val="FooterChar"/>
    <w:semiHidden/>
    <w:rsid w:val="00430803"/>
    <w:pPr>
      <w:tabs>
        <w:tab w:val="center" w:pos="4320"/>
        <w:tab w:val="right" w:pos="8640"/>
      </w:tabs>
      <w:spacing w:after="0" w:line="240" w:lineRule="auto"/>
      <w:contextualSpacing w:val="0"/>
    </w:pPr>
    <w:rPr>
      <w:rFonts w:eastAsia="Times New Roman" w:cs="Times New Roman"/>
      <w:sz w:val="20"/>
      <w:szCs w:val="20"/>
    </w:rPr>
  </w:style>
  <w:style w:type="character" w:customStyle="1" w:styleId="FooterChar">
    <w:name w:val="Footer Char"/>
    <w:basedOn w:val="DefaultParagraphFont"/>
    <w:link w:val="Footer"/>
    <w:semiHidden/>
    <w:rsid w:val="00430803"/>
    <w:rPr>
      <w:rFonts w:ascii="Times New Roman" w:eastAsia="Times New Roman" w:hAnsi="Times New Roman" w:cs="Times New Roman"/>
      <w:sz w:val="20"/>
      <w:szCs w:val="20"/>
    </w:rPr>
  </w:style>
  <w:style w:type="character" w:styleId="PageNumber">
    <w:name w:val="page number"/>
    <w:basedOn w:val="DefaultParagraphFont"/>
    <w:semiHidden/>
    <w:rsid w:val="00430803"/>
  </w:style>
  <w:style w:type="paragraph" w:styleId="BodyText2">
    <w:name w:val="Body Text 2"/>
    <w:basedOn w:val="Normal"/>
    <w:link w:val="BodyText2Char"/>
    <w:semiHidden/>
    <w:rsid w:val="00430803"/>
    <w:pPr>
      <w:spacing w:after="0" w:line="240" w:lineRule="auto"/>
      <w:contextualSpacing w:val="0"/>
    </w:pPr>
    <w:rPr>
      <w:rFonts w:eastAsia="Times New Roman" w:cs="Times New Roman"/>
      <w:szCs w:val="20"/>
    </w:rPr>
  </w:style>
  <w:style w:type="character" w:customStyle="1" w:styleId="BodyText2Char">
    <w:name w:val="Body Text 2 Char"/>
    <w:basedOn w:val="DefaultParagraphFont"/>
    <w:link w:val="BodyText2"/>
    <w:semiHidden/>
    <w:rsid w:val="0043080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3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4</cp:revision>
  <dcterms:created xsi:type="dcterms:W3CDTF">2017-06-14T18:42:00Z</dcterms:created>
  <dcterms:modified xsi:type="dcterms:W3CDTF">2017-06-15T14:10:00Z</dcterms:modified>
</cp:coreProperties>
</file>