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32E8" w:rsidRDefault="009232E8"/>
    <w:p w:rsidR="009232E8" w:rsidRDefault="009232E8">
      <w:pPr>
        <w:ind w:left="0" w:firstLine="0"/>
        <w:jc w:val="center"/>
        <w:rPr>
          <w:rFonts w:ascii="Calibri" w:eastAsia="Calibri" w:hAnsi="Calibri" w:cs="Calibri"/>
          <w:b/>
          <w:sz w:val="32"/>
          <w:szCs w:val="32"/>
        </w:rPr>
      </w:pPr>
    </w:p>
    <w:p w:rsidR="009232E8" w:rsidRDefault="00427184">
      <w:pPr>
        <w:ind w:left="0" w:firstLine="0"/>
        <w:jc w:val="center"/>
        <w:rPr>
          <w:rFonts w:ascii="Calibri" w:eastAsia="Calibri" w:hAnsi="Calibri" w:cs="Calibri"/>
          <w:b/>
          <w:sz w:val="32"/>
          <w:szCs w:val="32"/>
        </w:rPr>
      </w:pPr>
      <w:r>
        <w:rPr>
          <w:rFonts w:ascii="Calibri" w:eastAsia="Calibri" w:hAnsi="Calibri" w:cs="Calibri"/>
          <w:b/>
          <w:sz w:val="32"/>
          <w:szCs w:val="32"/>
        </w:rPr>
        <w:t>Northern Nevada Consortium for Manufacturing and Mining</w:t>
      </w:r>
    </w:p>
    <w:p w:rsidR="009232E8" w:rsidRDefault="00427184">
      <w:pPr>
        <w:ind w:left="0" w:firstLine="0"/>
        <w:jc w:val="center"/>
        <w:rPr>
          <w:rFonts w:ascii="Calibri" w:eastAsia="Calibri" w:hAnsi="Calibri" w:cs="Calibri"/>
          <w:b/>
          <w:sz w:val="32"/>
          <w:szCs w:val="32"/>
        </w:rPr>
      </w:pPr>
      <w:r>
        <w:rPr>
          <w:rFonts w:ascii="Calibri" w:eastAsia="Calibri" w:hAnsi="Calibri" w:cs="Calibri"/>
          <w:b/>
          <w:sz w:val="32"/>
          <w:szCs w:val="32"/>
        </w:rPr>
        <w:t>Curriculum Review</w:t>
      </w:r>
    </w:p>
    <w:p w:rsidR="009232E8" w:rsidRDefault="009232E8">
      <w:pPr>
        <w:ind w:left="0" w:firstLine="0"/>
        <w:jc w:val="center"/>
        <w:rPr>
          <w:rFonts w:ascii="Calibri" w:eastAsia="Calibri" w:hAnsi="Calibri" w:cs="Calibri"/>
          <w:b/>
          <w:sz w:val="32"/>
          <w:szCs w:val="32"/>
        </w:rPr>
      </w:pPr>
    </w:p>
    <w:p w:rsidR="009232E8" w:rsidRDefault="009232E8">
      <w:pPr>
        <w:ind w:left="0" w:firstLine="0"/>
        <w:jc w:val="center"/>
        <w:rPr>
          <w:rFonts w:ascii="Calibri" w:eastAsia="Calibri" w:hAnsi="Calibri" w:cs="Calibri"/>
          <w:b/>
          <w:sz w:val="32"/>
          <w:szCs w:val="32"/>
        </w:rPr>
      </w:pPr>
    </w:p>
    <w:p w:rsidR="009232E8" w:rsidRDefault="009232E8">
      <w:pPr>
        <w:ind w:left="0" w:firstLine="0"/>
        <w:jc w:val="center"/>
        <w:rPr>
          <w:rFonts w:ascii="Calibri" w:eastAsia="Calibri" w:hAnsi="Calibri" w:cs="Calibri"/>
          <w:b/>
          <w:sz w:val="32"/>
          <w:szCs w:val="32"/>
        </w:rPr>
      </w:pPr>
    </w:p>
    <w:p w:rsidR="009232E8" w:rsidRDefault="00427184">
      <w:pPr>
        <w:ind w:left="0" w:firstLine="0"/>
        <w:rPr>
          <w:rFonts w:ascii="Calibri" w:eastAsia="Calibri" w:hAnsi="Calibri" w:cs="Calibri"/>
          <w:b/>
        </w:rPr>
      </w:pPr>
      <w:r>
        <w:rPr>
          <w:rFonts w:ascii="Calibri" w:eastAsia="Calibri" w:hAnsi="Calibri" w:cs="Calibri"/>
          <w:b/>
        </w:rPr>
        <w:t>College: Truckee Meadows Community College</w:t>
      </w:r>
    </w:p>
    <w:p w:rsidR="009232E8" w:rsidRDefault="009232E8">
      <w:pPr>
        <w:ind w:left="0" w:firstLine="0"/>
        <w:rPr>
          <w:rFonts w:ascii="Calibri" w:eastAsia="Calibri" w:hAnsi="Calibri" w:cs="Calibri"/>
          <w:b/>
        </w:rPr>
      </w:pPr>
    </w:p>
    <w:p w:rsidR="009232E8" w:rsidRDefault="00427184">
      <w:pPr>
        <w:ind w:left="0" w:firstLine="0"/>
        <w:rPr>
          <w:rFonts w:ascii="Calibri" w:eastAsia="Calibri" w:hAnsi="Calibri" w:cs="Calibri"/>
          <w:b/>
        </w:rPr>
      </w:pPr>
      <w:r>
        <w:rPr>
          <w:rFonts w:ascii="Calibri" w:eastAsia="Calibri" w:hAnsi="Calibri" w:cs="Calibri"/>
          <w:b/>
        </w:rPr>
        <w:t>Program: TAACCCT Round 3</w:t>
      </w:r>
    </w:p>
    <w:p w:rsidR="009232E8" w:rsidRDefault="009232E8">
      <w:pPr>
        <w:ind w:left="0" w:firstLine="0"/>
        <w:rPr>
          <w:rFonts w:ascii="Calibri" w:eastAsia="Calibri" w:hAnsi="Calibri" w:cs="Calibri"/>
          <w:b/>
        </w:rPr>
      </w:pPr>
    </w:p>
    <w:p w:rsidR="009232E8" w:rsidRDefault="00427184">
      <w:pPr>
        <w:ind w:left="0" w:firstLine="0"/>
        <w:rPr>
          <w:rFonts w:ascii="Calibri" w:eastAsia="Calibri" w:hAnsi="Calibri" w:cs="Calibri"/>
          <w:b/>
        </w:rPr>
      </w:pPr>
      <w:bookmarkStart w:id="0" w:name="_gjdgxs" w:colFirst="0" w:colLast="0"/>
      <w:bookmarkEnd w:id="0"/>
      <w:r>
        <w:rPr>
          <w:rFonts w:ascii="Calibri" w:eastAsia="Calibri" w:hAnsi="Calibri" w:cs="Calibri"/>
          <w:b/>
        </w:rPr>
        <w:t xml:space="preserve">Course: MT108 9601 </w:t>
      </w:r>
      <w:proofErr w:type="gramStart"/>
      <w:r>
        <w:rPr>
          <w:rFonts w:ascii="Calibri" w:eastAsia="Calibri" w:hAnsi="Calibri" w:cs="Calibri"/>
          <w:b/>
        </w:rPr>
        <w:t>Fall</w:t>
      </w:r>
      <w:proofErr w:type="gramEnd"/>
      <w:r>
        <w:rPr>
          <w:rFonts w:ascii="Calibri" w:eastAsia="Calibri" w:hAnsi="Calibri" w:cs="Calibri"/>
          <w:b/>
        </w:rPr>
        <w:t xml:space="preserve"> 2016</w:t>
      </w:r>
    </w:p>
    <w:p w:rsidR="009232E8" w:rsidRDefault="009232E8">
      <w:pPr>
        <w:ind w:left="0" w:firstLine="0"/>
        <w:rPr>
          <w:rFonts w:ascii="Calibri" w:eastAsia="Calibri" w:hAnsi="Calibri" w:cs="Calibri"/>
          <w:b/>
        </w:rPr>
      </w:pPr>
    </w:p>
    <w:p w:rsidR="009232E8" w:rsidRDefault="00427184">
      <w:pPr>
        <w:ind w:left="0" w:firstLine="0"/>
        <w:rPr>
          <w:rFonts w:ascii="Calibri" w:eastAsia="Calibri" w:hAnsi="Calibri" w:cs="Calibri"/>
          <w:b/>
        </w:rPr>
      </w:pPr>
      <w:proofErr w:type="gramStart"/>
      <w:r>
        <w:rPr>
          <w:rFonts w:ascii="Calibri" w:eastAsia="Calibri" w:hAnsi="Calibri" w:cs="Calibri"/>
          <w:b/>
        </w:rPr>
        <w:t>Reviewed By:  JG</w:t>
      </w:r>
      <w:r>
        <w:rPr>
          <w:rFonts w:ascii="Calibri" w:eastAsia="Calibri" w:hAnsi="Calibri" w:cs="Calibri"/>
          <w:b/>
        </w:rPr>
        <w:t>, I’m a Maintenance Manager.</w:t>
      </w:r>
      <w:proofErr w:type="gramEnd"/>
      <w:r>
        <w:rPr>
          <w:rFonts w:ascii="Calibri" w:eastAsia="Calibri" w:hAnsi="Calibri" w:cs="Calibri"/>
          <w:b/>
        </w:rPr>
        <w:t xml:space="preserve">  I handle, maintain, repair, and facilitate this whole company.  With 15 years in construction, 4 years as </w:t>
      </w:r>
      <w:proofErr w:type="spellStart"/>
      <w:r>
        <w:rPr>
          <w:rFonts w:ascii="Calibri" w:eastAsia="Calibri" w:hAnsi="Calibri" w:cs="Calibri"/>
          <w:b/>
        </w:rPr>
        <w:t>a</w:t>
      </w:r>
      <w:proofErr w:type="spellEnd"/>
      <w:r>
        <w:rPr>
          <w:rFonts w:ascii="Calibri" w:eastAsia="Calibri" w:hAnsi="Calibri" w:cs="Calibri"/>
          <w:b/>
        </w:rPr>
        <w:t xml:space="preserve"> engineering technician, 6 years as an</w:t>
      </w:r>
      <w:r>
        <w:rPr>
          <w:rFonts w:ascii="Calibri" w:eastAsia="Calibri" w:hAnsi="Calibri" w:cs="Calibri"/>
          <w:b/>
        </w:rPr>
        <w:t xml:space="preserve"> AUTOCAD drafter and 5 years managing facilities I have developed many skills and talents.  About two years ago I took some time off of work to take the Advance Manufacturing courses at TMCC.  This course tied all of my experiences and skills and took me f</w:t>
      </w:r>
      <w:r>
        <w:rPr>
          <w:rFonts w:ascii="Calibri" w:eastAsia="Calibri" w:hAnsi="Calibri" w:cs="Calibri"/>
          <w:b/>
        </w:rPr>
        <w:t>rom being just a technician to managing a whole company.</w:t>
      </w:r>
    </w:p>
    <w:p w:rsidR="009232E8" w:rsidRDefault="009232E8">
      <w:pPr>
        <w:ind w:left="0" w:firstLine="0"/>
        <w:rPr>
          <w:rFonts w:ascii="Calibri" w:eastAsia="Calibri" w:hAnsi="Calibri" w:cs="Calibri"/>
          <w:b/>
        </w:rPr>
      </w:pPr>
    </w:p>
    <w:p w:rsidR="009232E8" w:rsidRDefault="009232E8">
      <w:pPr>
        <w:ind w:left="0" w:firstLine="0"/>
        <w:rPr>
          <w:rFonts w:ascii="Calibri" w:eastAsia="Calibri" w:hAnsi="Calibri" w:cs="Calibri"/>
          <w:b/>
        </w:rPr>
      </w:pPr>
    </w:p>
    <w:p w:rsidR="009232E8" w:rsidRDefault="00427184">
      <w:pPr>
        <w:ind w:left="0" w:firstLine="0"/>
        <w:rPr>
          <w:rFonts w:ascii="Calibri" w:eastAsia="Calibri" w:hAnsi="Calibri" w:cs="Calibri"/>
          <w:b/>
        </w:rPr>
      </w:pPr>
      <w:r>
        <w:rPr>
          <w:rFonts w:ascii="Calibri" w:eastAsia="Calibri" w:hAnsi="Calibri" w:cs="Calibri"/>
          <w:b/>
        </w:rPr>
        <w:t>Date: 04/14/2017</w:t>
      </w: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9232E8">
      <w:pPr>
        <w:rPr>
          <w:rFonts w:ascii="Calibri" w:eastAsia="Calibri" w:hAnsi="Calibri" w:cs="Calibri"/>
        </w:rPr>
      </w:pPr>
    </w:p>
    <w:p w:rsidR="009232E8" w:rsidRDefault="00427184">
      <w:pPr>
        <w:ind w:left="360" w:firstLine="0"/>
        <w:jc w:val="both"/>
        <w:rPr>
          <w:rFonts w:ascii="Calibri" w:eastAsia="Calibri" w:hAnsi="Calibri" w:cs="Calibri"/>
          <w:b/>
        </w:rPr>
      </w:pPr>
      <w:r>
        <w:rPr>
          <w:rFonts w:ascii="Calibri" w:eastAsia="Calibri" w:hAnsi="Calibri" w:cs="Calibri"/>
          <w:b/>
        </w:rPr>
        <w:t>Review scale definitions:</w:t>
      </w:r>
    </w:p>
    <w:p w:rsidR="009232E8" w:rsidRDefault="009232E8">
      <w:pPr>
        <w:ind w:left="360" w:firstLine="0"/>
        <w:jc w:val="both"/>
        <w:rPr>
          <w:rFonts w:ascii="Calibri" w:eastAsia="Calibri" w:hAnsi="Calibri" w:cs="Calibri"/>
          <w:b/>
        </w:rPr>
      </w:pPr>
    </w:p>
    <w:p w:rsidR="009232E8" w:rsidRDefault="00427184">
      <w:pPr>
        <w:ind w:left="360" w:firstLine="0"/>
        <w:jc w:val="both"/>
        <w:rPr>
          <w:rFonts w:ascii="Calibri" w:eastAsia="Calibri" w:hAnsi="Calibri" w:cs="Calibri"/>
        </w:rPr>
      </w:pPr>
      <w:r>
        <w:rPr>
          <w:rFonts w:ascii="Calibri" w:eastAsia="Calibri" w:hAnsi="Calibri" w:cs="Calibri"/>
          <w:b/>
        </w:rPr>
        <w:t xml:space="preserve">Exceptional:  </w:t>
      </w:r>
      <w:r>
        <w:rPr>
          <w:rFonts w:ascii="Calibri" w:eastAsia="Calibri" w:hAnsi="Calibri" w:cs="Calibri"/>
        </w:rPr>
        <w:t>Review component is a “best practice” and represents a model for replication.</w:t>
      </w:r>
    </w:p>
    <w:p w:rsidR="009232E8" w:rsidRDefault="009232E8">
      <w:pPr>
        <w:ind w:left="360" w:firstLine="0"/>
        <w:jc w:val="both"/>
        <w:rPr>
          <w:rFonts w:ascii="Calibri" w:eastAsia="Calibri" w:hAnsi="Calibri" w:cs="Calibri"/>
          <w:b/>
        </w:rPr>
      </w:pPr>
    </w:p>
    <w:p w:rsidR="009232E8" w:rsidRDefault="00427184">
      <w:pPr>
        <w:ind w:left="360" w:firstLine="0"/>
        <w:jc w:val="both"/>
        <w:rPr>
          <w:rFonts w:ascii="Calibri" w:eastAsia="Calibri" w:hAnsi="Calibri" w:cs="Calibri"/>
          <w:b/>
        </w:rPr>
      </w:pPr>
      <w:r>
        <w:rPr>
          <w:rFonts w:ascii="Calibri" w:eastAsia="Calibri" w:hAnsi="Calibri" w:cs="Calibri"/>
          <w:b/>
        </w:rPr>
        <w:t xml:space="preserve">Very good: </w:t>
      </w:r>
      <w:r>
        <w:rPr>
          <w:rFonts w:ascii="Calibri" w:eastAsia="Calibri" w:hAnsi="Calibri" w:cs="Calibri"/>
        </w:rPr>
        <w:t>Review component is complete and effective.</w:t>
      </w:r>
    </w:p>
    <w:p w:rsidR="009232E8" w:rsidRDefault="009232E8">
      <w:pPr>
        <w:ind w:left="360" w:firstLine="0"/>
        <w:jc w:val="both"/>
        <w:rPr>
          <w:rFonts w:ascii="Calibri" w:eastAsia="Calibri" w:hAnsi="Calibri" w:cs="Calibri"/>
          <w:b/>
        </w:rPr>
      </w:pPr>
    </w:p>
    <w:p w:rsidR="009232E8" w:rsidRDefault="00427184">
      <w:pPr>
        <w:ind w:left="360" w:firstLine="0"/>
        <w:jc w:val="both"/>
        <w:rPr>
          <w:rFonts w:ascii="Calibri" w:eastAsia="Calibri" w:hAnsi="Calibri" w:cs="Calibri"/>
        </w:rPr>
      </w:pPr>
      <w:r>
        <w:rPr>
          <w:rFonts w:ascii="Calibri" w:eastAsia="Calibri" w:hAnsi="Calibri" w:cs="Calibri"/>
          <w:b/>
        </w:rPr>
        <w:t xml:space="preserve">Good: </w:t>
      </w:r>
      <w:r>
        <w:rPr>
          <w:rFonts w:ascii="Calibri" w:eastAsia="Calibri" w:hAnsi="Calibri" w:cs="Calibri"/>
        </w:rPr>
        <w:t>Review component is adequate but presents opportunities for improvement.</w:t>
      </w:r>
    </w:p>
    <w:p w:rsidR="009232E8" w:rsidRDefault="009232E8">
      <w:pPr>
        <w:ind w:left="360" w:firstLine="0"/>
        <w:jc w:val="both"/>
        <w:rPr>
          <w:rFonts w:ascii="Calibri" w:eastAsia="Calibri" w:hAnsi="Calibri" w:cs="Calibri"/>
        </w:rPr>
      </w:pPr>
    </w:p>
    <w:p w:rsidR="009232E8" w:rsidRDefault="00427184">
      <w:pPr>
        <w:ind w:left="360" w:firstLine="0"/>
        <w:jc w:val="both"/>
        <w:rPr>
          <w:rFonts w:ascii="Calibri" w:eastAsia="Calibri" w:hAnsi="Calibri" w:cs="Calibri"/>
        </w:rPr>
      </w:pPr>
      <w:r>
        <w:rPr>
          <w:rFonts w:ascii="Calibri" w:eastAsia="Calibri" w:hAnsi="Calibri" w:cs="Calibri"/>
          <w:b/>
        </w:rPr>
        <w:t xml:space="preserve">Ineffective: </w:t>
      </w:r>
      <w:r>
        <w:rPr>
          <w:rFonts w:ascii="Calibri" w:eastAsia="Calibri" w:hAnsi="Calibri" w:cs="Calibri"/>
        </w:rPr>
        <w:t>Review component is weak and</w:t>
      </w:r>
      <w:r>
        <w:rPr>
          <w:rFonts w:ascii="Calibri" w:eastAsia="Calibri" w:hAnsi="Calibri" w:cs="Calibri"/>
          <w:b/>
        </w:rPr>
        <w:t xml:space="preserve"> </w:t>
      </w:r>
      <w:r>
        <w:rPr>
          <w:rFonts w:ascii="Calibri" w:eastAsia="Calibri" w:hAnsi="Calibri" w:cs="Calibri"/>
        </w:rPr>
        <w:t>in need of significant improvement.</w:t>
      </w:r>
    </w:p>
    <w:p w:rsidR="009232E8" w:rsidRDefault="009232E8">
      <w:pPr>
        <w:ind w:left="360" w:firstLine="0"/>
        <w:jc w:val="both"/>
        <w:rPr>
          <w:rFonts w:ascii="Calibri" w:eastAsia="Calibri" w:hAnsi="Calibri" w:cs="Calibri"/>
        </w:rPr>
      </w:pPr>
    </w:p>
    <w:p w:rsidR="009232E8" w:rsidRDefault="009232E8">
      <w:pPr>
        <w:ind w:left="360" w:firstLine="0"/>
        <w:jc w:val="both"/>
      </w:pPr>
    </w:p>
    <w:p w:rsidR="009232E8" w:rsidRDefault="009232E8">
      <w:pPr>
        <w:ind w:left="360" w:firstLine="0"/>
        <w:jc w:val="both"/>
      </w:pPr>
    </w:p>
    <w:p w:rsidR="009232E8" w:rsidRDefault="009232E8">
      <w:pPr>
        <w:ind w:left="360" w:firstLine="0"/>
        <w:jc w:val="both"/>
      </w:pPr>
    </w:p>
    <w:p w:rsidR="009232E8" w:rsidRDefault="009232E8">
      <w:pPr>
        <w:ind w:left="360" w:firstLine="0"/>
        <w:jc w:val="both"/>
      </w:pPr>
    </w:p>
    <w:p w:rsidR="009232E8" w:rsidRDefault="009232E8">
      <w:pPr>
        <w:ind w:left="360" w:firstLine="0"/>
        <w:jc w:val="both"/>
      </w:pPr>
    </w:p>
    <w:p w:rsidR="009232E8" w:rsidRDefault="009232E8">
      <w:pPr>
        <w:ind w:left="360" w:firstLine="0"/>
        <w:jc w:val="both"/>
      </w:pPr>
    </w:p>
    <w:p w:rsidR="009232E8" w:rsidRDefault="009232E8">
      <w:pPr>
        <w:ind w:left="360" w:firstLine="0"/>
        <w:jc w:val="both"/>
      </w:pPr>
    </w:p>
    <w:p w:rsidR="009232E8" w:rsidRDefault="009232E8">
      <w:pPr>
        <w:ind w:left="0" w:firstLine="0"/>
        <w:jc w:val="both"/>
      </w:pPr>
    </w:p>
    <w:tbl>
      <w:tblPr>
        <w:tblStyle w:val="a"/>
        <w:tblW w:w="108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7"/>
        <w:gridCol w:w="1411"/>
        <w:gridCol w:w="1411"/>
        <w:gridCol w:w="1412"/>
        <w:gridCol w:w="1414"/>
      </w:tblGrid>
      <w:tr w:rsidR="009232E8">
        <w:tc>
          <w:tcPr>
            <w:tcW w:w="5217" w:type="dxa"/>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Program/Student Learning Outcomes and Progra</w:t>
            </w:r>
            <w:r>
              <w:rPr>
                <w:rFonts w:ascii="Arial Narrow" w:eastAsia="Arial Narrow" w:hAnsi="Arial Narrow" w:cs="Arial Narrow"/>
                <w:b/>
                <w:sz w:val="22"/>
                <w:szCs w:val="22"/>
              </w:rPr>
              <w:t>m Map</w:t>
            </w:r>
          </w:p>
        </w:tc>
        <w:tc>
          <w:tcPr>
            <w:tcW w:w="1411" w:type="dxa"/>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Effective program structure (prerequisites, course sequence, delivery methods, classroom/laboratory blend, stackable credential-structure provide a clear, logical “map” to completion for adult students)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aligned to occupational focus (industry skills and standards)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contextualSpacing w:val="0"/>
              <w:jc w:val="cente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clearly stated</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Outcomes introduced/reinforced effectively</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capstone assessment (licensure, industry certification, capstone project or TSA)</w:t>
            </w:r>
          </w:p>
        </w:tc>
        <w:tc>
          <w:tcPr>
            <w:tcW w:w="1411"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r>
      <w:tr w:rsidR="009232E8">
        <w:trPr>
          <w:trHeight w:val="2000"/>
        </w:trPr>
        <w:tc>
          <w:tcPr>
            <w:tcW w:w="10865" w:type="dxa"/>
            <w:gridSpan w:val="5"/>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Excellent course on Hydraulics and pneumatics.  For a beginners course it takes you through the basics all the way to advanced theories and troubleshooting.  This course was well written and the labs were the key to bringing it</w:t>
            </w:r>
            <w:r>
              <w:rPr>
                <w:rFonts w:ascii="Arial Narrow" w:eastAsia="Arial Narrow" w:hAnsi="Arial Narrow" w:cs="Arial Narrow"/>
                <w:sz w:val="22"/>
                <w:szCs w:val="22"/>
              </w:rPr>
              <w:t xml:space="preserve"> all together.</w:t>
            </w:r>
          </w:p>
        </w:tc>
      </w:tr>
      <w:tr w:rsidR="009232E8">
        <w:tc>
          <w:tcPr>
            <w:tcW w:w="5217" w:type="dxa"/>
            <w:tcBorders>
              <w:top w:val="single" w:sz="12" w:space="0" w:color="000000"/>
            </w:tcBorders>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Course Objectives</w:t>
            </w:r>
          </w:p>
        </w:tc>
        <w:tc>
          <w:tcPr>
            <w:tcW w:w="1411" w:type="dxa"/>
            <w:tcBorders>
              <w:top w:val="single" w:sz="12" w:space="0" w:color="000000"/>
            </w:tcBorders>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shd w:val="clear" w:color="auto" w:fill="FFFFFF"/>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Appropriate to course level</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stated from student perspective</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Measurable</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Address/support one or more outcome</w:t>
            </w:r>
          </w:p>
        </w:tc>
        <w:tc>
          <w:tcPr>
            <w:tcW w:w="1411"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4"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r>
      <w:tr w:rsidR="009232E8">
        <w:trPr>
          <w:trHeight w:val="2000"/>
        </w:trPr>
        <w:tc>
          <w:tcPr>
            <w:tcW w:w="10865" w:type="dxa"/>
            <w:gridSpan w:val="5"/>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tc>
      </w:tr>
      <w:tr w:rsidR="009232E8">
        <w:tc>
          <w:tcPr>
            <w:tcW w:w="5217" w:type="dxa"/>
            <w:tcBorders>
              <w:top w:val="single" w:sz="12" w:space="0" w:color="000000"/>
            </w:tcBorders>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Module or Unit Objectives</w:t>
            </w:r>
          </w:p>
        </w:tc>
        <w:tc>
          <w:tcPr>
            <w:tcW w:w="1411"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linked to course objectives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Address one or more course objective</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Clearly stated from student perspective</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Measurable</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rPr>
          <w:trHeight w:val="2000"/>
        </w:trPr>
        <w:tc>
          <w:tcPr>
            <w:tcW w:w="10865" w:type="dxa"/>
            <w:gridSpan w:val="5"/>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lastRenderedPageBreak/>
              <w:t>Comments or recommendations:</w:t>
            </w: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Instructional Materials and Lab Resources</w:t>
            </w:r>
          </w:p>
        </w:tc>
        <w:tc>
          <w:tcPr>
            <w:tcW w:w="1411"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Support stated course and module or unit learning objectives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Meet/reflect current industry practices and standards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options for multiple learning styles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rPr>
          <w:trHeight w:val="280"/>
        </w:trPr>
        <w:tc>
          <w:tcPr>
            <w:tcW w:w="5217" w:type="dxa"/>
            <w:vAlign w:val="center"/>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Resources/materials are cited properly</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innovation to support adult learner success</w:t>
            </w:r>
          </w:p>
        </w:tc>
        <w:tc>
          <w:tcPr>
            <w:tcW w:w="1411"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2"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r>
      <w:tr w:rsidR="009232E8">
        <w:trPr>
          <w:trHeight w:val="980"/>
        </w:trPr>
        <w:tc>
          <w:tcPr>
            <w:tcW w:w="10865" w:type="dxa"/>
            <w:gridSpan w:val="5"/>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and recommendations:</w:t>
            </w:r>
          </w:p>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The materials and resources could not be better.  I can see these resources in my work </w:t>
            </w:r>
            <w:proofErr w:type="spellStart"/>
            <w:r>
              <w:rPr>
                <w:rFonts w:ascii="Arial Narrow" w:eastAsia="Arial Narrow" w:hAnsi="Arial Narrow" w:cs="Arial Narrow"/>
                <w:sz w:val="22"/>
                <w:szCs w:val="22"/>
              </w:rPr>
              <w:t>everyday</w:t>
            </w:r>
            <w:proofErr w:type="spellEnd"/>
            <w:r>
              <w:rPr>
                <w:rFonts w:ascii="Arial Narrow" w:eastAsia="Arial Narrow" w:hAnsi="Arial Narrow" w:cs="Arial Narrow"/>
                <w:sz w:val="22"/>
                <w:szCs w:val="22"/>
              </w:rPr>
              <w:t xml:space="preserve"> and reviewing this material has helped me fix some issues I had.</w:t>
            </w:r>
          </w:p>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Borders>
              <w:top w:val="single" w:sz="12" w:space="0" w:color="000000"/>
            </w:tcBorders>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Learning Activities</w:t>
            </w:r>
          </w:p>
        </w:tc>
        <w:tc>
          <w:tcPr>
            <w:tcW w:w="1411"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Promote achievement of stated module or unit objectives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Materials/resources (to include equipment, tools and software) are presented in a way that students understand purpose and use in healthcare and other industry settings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Provide opportunities for interaction and active learning </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options for multiple learning styles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Linked to current industry practices and standards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c>
          <w:tcPr>
            <w:tcW w:w="5217"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Evidence of innovation to support adult learner success </w:t>
            </w:r>
          </w:p>
        </w:tc>
        <w:tc>
          <w:tcPr>
            <w:tcW w:w="1411" w:type="dxa"/>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2"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Borders>
              <w:bottom w:val="single" w:sz="12"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r>
      <w:tr w:rsidR="009232E8">
        <w:trPr>
          <w:trHeight w:val="780"/>
        </w:trPr>
        <w:tc>
          <w:tcPr>
            <w:tcW w:w="10865" w:type="dxa"/>
            <w:gridSpan w:val="5"/>
            <w:tcBorders>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and recommendations:</w:t>
            </w:r>
          </w:p>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Excellent lab work and instructions, the modules were spot on and challenged the student to think and apply their knowledge</w:t>
            </w:r>
          </w:p>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Assessment Tools/Criteria for Evaluation</w:t>
            </w:r>
          </w:p>
        </w:tc>
        <w:tc>
          <w:tcPr>
            <w:tcW w:w="1411"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Measure stated learning objectives and link to industry standards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Align with course activities and resources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Include specific and descriptive criteria for evaluation of student work/participation</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Sequenced throughout instructional period to enable students to build on feedback</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Varied and appropriate to content</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Borders>
              <w:bottom w:val="single" w:sz="6"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Provide opportunities for students to measure their own learning progress</w:t>
            </w:r>
          </w:p>
        </w:tc>
        <w:tc>
          <w:tcPr>
            <w:tcW w:w="1411" w:type="dxa"/>
            <w:tcBorders>
              <w:bottom w:val="single" w:sz="6"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Borders>
              <w:bottom w:val="single" w:sz="6"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2" w:type="dxa"/>
            <w:tcBorders>
              <w:bottom w:val="single" w:sz="6" w:space="0" w:color="000000"/>
            </w:tcBorders>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Borders>
              <w:bottom w:val="single" w:sz="6" w:space="0" w:color="000000"/>
            </w:tcBorders>
          </w:tcPr>
          <w:p w:rsidR="009232E8" w:rsidRDefault="009232E8">
            <w:pPr>
              <w:ind w:left="0" w:firstLine="0"/>
              <w:contextualSpacing w:val="0"/>
              <w:rPr>
                <w:rFonts w:ascii="Arial Narrow" w:eastAsia="Arial Narrow" w:hAnsi="Arial Narrow" w:cs="Arial Narrow"/>
                <w:sz w:val="22"/>
                <w:szCs w:val="22"/>
              </w:rPr>
            </w:pPr>
          </w:p>
        </w:tc>
      </w:tr>
      <w:tr w:rsidR="009232E8">
        <w:trPr>
          <w:trHeight w:val="780"/>
        </w:trPr>
        <w:tc>
          <w:tcPr>
            <w:tcW w:w="10865" w:type="dxa"/>
            <w:gridSpan w:val="5"/>
            <w:tcBorders>
              <w:top w:val="single" w:sz="6" w:space="0" w:color="000000"/>
              <w:bottom w:val="single" w:sz="12" w:space="0" w:color="000000"/>
            </w:tcBorders>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lastRenderedPageBreak/>
              <w:t>Comments and recommendation:</w:t>
            </w:r>
          </w:p>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I didn’t see it and maybe it’s in this course but there should be a test or just a worksheet that should be completed on the different symbols for hydraulic and pneumatic systems.  It is very important to know the different parts</w:t>
            </w:r>
          </w:p>
          <w:p w:rsidR="009232E8" w:rsidRDefault="009232E8">
            <w:pPr>
              <w:ind w:left="0" w:firstLine="0"/>
              <w:contextualSpacing w:val="0"/>
              <w:rPr>
                <w:rFonts w:ascii="Arial Narrow" w:eastAsia="Arial Narrow" w:hAnsi="Arial Narrow" w:cs="Arial Narrow"/>
                <w:sz w:val="22"/>
                <w:szCs w:val="22"/>
              </w:rPr>
            </w:pPr>
          </w:p>
        </w:tc>
      </w:tr>
      <w:tr w:rsidR="009232E8">
        <w:tc>
          <w:tcPr>
            <w:tcW w:w="5217" w:type="dxa"/>
            <w:tcBorders>
              <w:top w:val="single" w:sz="12" w:space="0" w:color="000000"/>
            </w:tcBorders>
          </w:tcPr>
          <w:p w:rsidR="009232E8" w:rsidRDefault="00427184">
            <w:pPr>
              <w:ind w:left="0" w:firstLine="0"/>
              <w:contextualSpacing w:val="0"/>
              <w:rPr>
                <w:rFonts w:ascii="Arial Narrow" w:eastAsia="Arial Narrow" w:hAnsi="Arial Narrow" w:cs="Arial Narrow"/>
                <w:b/>
                <w:sz w:val="22"/>
                <w:szCs w:val="22"/>
              </w:rPr>
            </w:pPr>
            <w:r>
              <w:rPr>
                <w:rFonts w:ascii="Arial Narrow" w:eastAsia="Arial Narrow" w:hAnsi="Arial Narrow" w:cs="Arial Narrow"/>
                <w:b/>
                <w:sz w:val="22"/>
                <w:szCs w:val="22"/>
              </w:rPr>
              <w:t>Innovative or enhanced s</w:t>
            </w:r>
            <w:r>
              <w:rPr>
                <w:rFonts w:ascii="Arial Narrow" w:eastAsia="Arial Narrow" w:hAnsi="Arial Narrow" w:cs="Arial Narrow"/>
                <w:b/>
                <w:sz w:val="22"/>
                <w:szCs w:val="22"/>
              </w:rPr>
              <w:t>trategies</w:t>
            </w:r>
          </w:p>
        </w:tc>
        <w:tc>
          <w:tcPr>
            <w:tcW w:w="1411"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Exceptional</w:t>
            </w:r>
          </w:p>
        </w:tc>
        <w:tc>
          <w:tcPr>
            <w:tcW w:w="1411" w:type="dxa"/>
            <w:tcBorders>
              <w:top w:val="single" w:sz="12" w:space="0" w:color="000000"/>
              <w:right w:val="single" w:sz="8"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Very Good</w:t>
            </w:r>
          </w:p>
        </w:tc>
        <w:tc>
          <w:tcPr>
            <w:tcW w:w="1412" w:type="dxa"/>
            <w:tcBorders>
              <w:top w:val="single" w:sz="12" w:space="0" w:color="000000"/>
              <w:left w:val="single" w:sz="8"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Good</w:t>
            </w:r>
          </w:p>
        </w:tc>
        <w:tc>
          <w:tcPr>
            <w:tcW w:w="1414" w:type="dxa"/>
            <w:tcBorders>
              <w:top w:val="single" w:sz="12" w:space="0" w:color="000000"/>
            </w:tcBorders>
            <w:vAlign w:val="center"/>
          </w:tcPr>
          <w:p w:rsidR="009232E8" w:rsidRDefault="00427184">
            <w:pPr>
              <w:ind w:left="0" w:firstLine="0"/>
              <w:contextualSpacing w:val="0"/>
              <w:jc w:val="center"/>
              <w:rPr>
                <w:rFonts w:ascii="Arial Narrow" w:eastAsia="Arial Narrow" w:hAnsi="Arial Narrow" w:cs="Arial Narrow"/>
                <w:b/>
                <w:sz w:val="20"/>
                <w:szCs w:val="20"/>
              </w:rPr>
            </w:pPr>
            <w:r>
              <w:rPr>
                <w:rFonts w:ascii="Arial Narrow" w:eastAsia="Arial Narrow" w:hAnsi="Arial Narrow" w:cs="Arial Narrow"/>
                <w:b/>
                <w:sz w:val="20"/>
                <w:szCs w:val="20"/>
              </w:rPr>
              <w:t>Ineffective</w:t>
            </w:r>
          </w:p>
        </w:tc>
      </w:tr>
      <w:tr w:rsidR="009232E8">
        <w:trPr>
          <w:trHeight w:val="520"/>
        </w:trPr>
        <w:tc>
          <w:tcPr>
            <w:tcW w:w="5217" w:type="dxa"/>
            <w:tcBorders>
              <w:bottom w:val="single" w:sz="6" w:space="0" w:color="000000"/>
            </w:tcBorders>
            <w:vAlign w:val="center"/>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industry input/standards in program design and curricular components</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rPr>
          <w:trHeight w:val="360"/>
        </w:trPr>
        <w:tc>
          <w:tcPr>
            <w:tcW w:w="5217" w:type="dxa"/>
            <w:tcBorders>
              <w:top w:val="single" w:sz="6" w:space="0" w:color="000000"/>
              <w:bottom w:val="single" w:sz="6" w:space="0" w:color="000000"/>
            </w:tcBorders>
            <w:vAlign w:val="center"/>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Evidence of program enhancements to support adult learner</w:t>
            </w:r>
          </w:p>
        </w:tc>
        <w:tc>
          <w:tcPr>
            <w:tcW w:w="1411" w:type="dxa"/>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X</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jc w:val="center"/>
              <w:rPr>
                <w:rFonts w:ascii="Arial Narrow" w:eastAsia="Arial Narrow" w:hAnsi="Arial Narrow" w:cs="Arial Narrow"/>
                <w:sz w:val="22"/>
                <w:szCs w:val="22"/>
              </w:rPr>
            </w:pPr>
          </w:p>
        </w:tc>
        <w:tc>
          <w:tcPr>
            <w:tcW w:w="1414" w:type="dxa"/>
          </w:tcPr>
          <w:p w:rsidR="009232E8" w:rsidRDefault="009232E8">
            <w:pPr>
              <w:ind w:left="0" w:firstLine="0"/>
              <w:contextualSpacing w:val="0"/>
              <w:jc w:val="center"/>
              <w:rPr>
                <w:rFonts w:ascii="Arial Narrow" w:eastAsia="Arial Narrow" w:hAnsi="Arial Narrow" w:cs="Arial Narrow"/>
                <w:sz w:val="22"/>
                <w:szCs w:val="22"/>
              </w:rPr>
            </w:pPr>
          </w:p>
        </w:tc>
      </w:tr>
      <w:tr w:rsidR="009232E8">
        <w:trPr>
          <w:trHeight w:val="640"/>
        </w:trPr>
        <w:tc>
          <w:tcPr>
            <w:tcW w:w="5217" w:type="dxa"/>
            <w:tcBorders>
              <w:top w:val="single" w:sz="6" w:space="0" w:color="000000"/>
              <w:bottom w:val="single" w:sz="6" w:space="0" w:color="000000"/>
            </w:tcBorders>
            <w:shd w:val="clear" w:color="auto" w:fill="FFFFFF"/>
            <w:vAlign w:val="center"/>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 xml:space="preserve">If program has run long enough, is there evidence that enhancements to it have improved pass rates? </w:t>
            </w:r>
            <w:r>
              <w:rPr>
                <w:rFonts w:ascii="Arial Narrow" w:eastAsia="Arial Narrow" w:hAnsi="Arial Narrow" w:cs="Arial Narrow"/>
                <w:b/>
                <w:sz w:val="22"/>
                <w:szCs w:val="22"/>
              </w:rPr>
              <w:t>N/A</w:t>
            </w: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1" w:type="dxa"/>
          </w:tcPr>
          <w:p w:rsidR="009232E8" w:rsidRDefault="009232E8">
            <w:pPr>
              <w:ind w:left="0" w:firstLine="0"/>
              <w:contextualSpacing w:val="0"/>
              <w:rPr>
                <w:rFonts w:ascii="Arial Narrow" w:eastAsia="Arial Narrow" w:hAnsi="Arial Narrow" w:cs="Arial Narrow"/>
                <w:sz w:val="22"/>
                <w:szCs w:val="22"/>
              </w:rPr>
            </w:pPr>
          </w:p>
        </w:tc>
        <w:tc>
          <w:tcPr>
            <w:tcW w:w="1412" w:type="dxa"/>
          </w:tcPr>
          <w:p w:rsidR="009232E8" w:rsidRDefault="009232E8">
            <w:pPr>
              <w:ind w:left="0" w:firstLine="0"/>
              <w:contextualSpacing w:val="0"/>
              <w:rPr>
                <w:rFonts w:ascii="Arial Narrow" w:eastAsia="Arial Narrow" w:hAnsi="Arial Narrow" w:cs="Arial Narrow"/>
                <w:sz w:val="22"/>
                <w:szCs w:val="22"/>
              </w:rPr>
            </w:pPr>
          </w:p>
        </w:tc>
        <w:tc>
          <w:tcPr>
            <w:tcW w:w="1414" w:type="dxa"/>
          </w:tcPr>
          <w:p w:rsidR="009232E8" w:rsidRDefault="009232E8">
            <w:pPr>
              <w:ind w:left="0" w:firstLine="0"/>
              <w:contextualSpacing w:val="0"/>
              <w:rPr>
                <w:rFonts w:ascii="Arial Narrow" w:eastAsia="Arial Narrow" w:hAnsi="Arial Narrow" w:cs="Arial Narrow"/>
                <w:sz w:val="22"/>
                <w:szCs w:val="22"/>
              </w:rPr>
            </w:pPr>
          </w:p>
        </w:tc>
      </w:tr>
      <w:tr w:rsidR="009232E8">
        <w:trPr>
          <w:trHeight w:val="1140"/>
        </w:trPr>
        <w:tc>
          <w:tcPr>
            <w:tcW w:w="5217" w:type="dxa"/>
            <w:tcBorders>
              <w:top w:val="single" w:sz="6" w:space="0" w:color="000000"/>
              <w:bottom w:val="single" w:sz="12" w:space="0" w:color="000000"/>
            </w:tcBorders>
            <w:shd w:val="clear" w:color="auto" w:fill="FFFFFF"/>
          </w:tcPr>
          <w:p w:rsidR="009232E8" w:rsidRDefault="00427184">
            <w:pPr>
              <w:ind w:left="0" w:firstLine="0"/>
              <w:contextualSpacing w:val="0"/>
              <w:rPr>
                <w:rFonts w:ascii="Arial Narrow" w:eastAsia="Arial Narrow" w:hAnsi="Arial Narrow" w:cs="Arial Narrow"/>
                <w:sz w:val="22"/>
                <w:szCs w:val="22"/>
              </w:rPr>
            </w:pPr>
            <w:r>
              <w:rPr>
                <w:rFonts w:ascii="Arial Narrow" w:eastAsia="Arial Narrow" w:hAnsi="Arial Narrow" w:cs="Arial Narrow"/>
                <w:sz w:val="22"/>
                <w:szCs w:val="22"/>
              </w:rPr>
              <w:t>Comments or recommendations:</w:t>
            </w:r>
          </w:p>
          <w:p w:rsidR="009232E8" w:rsidRDefault="009232E8">
            <w:pPr>
              <w:ind w:left="0" w:firstLine="0"/>
              <w:contextualSpacing w:val="0"/>
              <w:rPr>
                <w:rFonts w:ascii="Arial Narrow" w:eastAsia="Arial Narrow" w:hAnsi="Arial Narrow" w:cs="Arial Narrow"/>
                <w:sz w:val="22"/>
                <w:szCs w:val="22"/>
              </w:rPr>
            </w:pPr>
          </w:p>
          <w:p w:rsidR="009232E8" w:rsidRDefault="009232E8">
            <w:pPr>
              <w:ind w:left="0" w:firstLine="0"/>
              <w:contextualSpacing w:val="0"/>
              <w:rPr>
                <w:rFonts w:ascii="Arial Narrow" w:eastAsia="Arial Narrow" w:hAnsi="Arial Narrow" w:cs="Arial Narrow"/>
                <w:sz w:val="22"/>
                <w:szCs w:val="22"/>
              </w:rPr>
            </w:pPr>
          </w:p>
        </w:tc>
        <w:tc>
          <w:tcPr>
            <w:tcW w:w="1411"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1"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2"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c>
          <w:tcPr>
            <w:tcW w:w="1414" w:type="dxa"/>
            <w:tcBorders>
              <w:bottom w:val="single" w:sz="12" w:space="0" w:color="000000"/>
            </w:tcBorders>
          </w:tcPr>
          <w:p w:rsidR="009232E8" w:rsidRDefault="009232E8">
            <w:pPr>
              <w:ind w:left="0" w:firstLine="0"/>
              <w:contextualSpacing w:val="0"/>
              <w:rPr>
                <w:rFonts w:ascii="Arial Narrow" w:eastAsia="Arial Narrow" w:hAnsi="Arial Narrow" w:cs="Arial Narrow"/>
                <w:sz w:val="22"/>
                <w:szCs w:val="22"/>
              </w:rPr>
            </w:pPr>
          </w:p>
        </w:tc>
      </w:tr>
    </w:tbl>
    <w:p w:rsidR="00427184" w:rsidRPr="00427184" w:rsidRDefault="00427184" w:rsidP="00427184">
      <w:pPr>
        <w:widowControl/>
        <w:tabs>
          <w:tab w:val="center" w:pos="4680"/>
          <w:tab w:val="right" w:pos="9360"/>
        </w:tabs>
        <w:ind w:left="0" w:firstLine="0"/>
        <w:rPr>
          <w:rFonts w:ascii="Calibri" w:eastAsia="Calibri" w:hAnsi="Calibri" w:cs="Times New Roman"/>
          <w:color w:val="auto"/>
          <w:sz w:val="18"/>
          <w:szCs w:val="18"/>
          <w:u w:val="single"/>
        </w:rPr>
      </w:pPr>
      <w:r w:rsidRPr="00427184">
        <w:rPr>
          <w:rFonts w:ascii="Calibri" w:eastAsia="Calibri" w:hAnsi="Calibri" w:cs="Times New Roman"/>
          <w:color w:val="auto"/>
          <w:sz w:val="18"/>
          <w:szCs w:val="18"/>
          <w:u w:val="single"/>
        </w:rPr>
        <w:t>Equal Employment Opportunity</w:t>
      </w:r>
    </w:p>
    <w:p w:rsidR="00427184" w:rsidRPr="00427184" w:rsidRDefault="00427184" w:rsidP="00427184">
      <w:pPr>
        <w:widowControl/>
        <w:spacing w:after="160" w:line="259" w:lineRule="auto"/>
        <w:ind w:left="0" w:firstLine="0"/>
        <w:rPr>
          <w:rFonts w:ascii="Calibri" w:eastAsia="Calibri" w:hAnsi="Calibri" w:cs="Times New Roman"/>
          <w:i/>
          <w:color w:val="auto"/>
          <w:sz w:val="18"/>
          <w:szCs w:val="18"/>
        </w:rPr>
      </w:pPr>
      <w:r w:rsidRPr="00427184">
        <w:rPr>
          <w:rFonts w:ascii="Calibri" w:eastAsia="Calibri" w:hAnsi="Calibri" w:cs="Times New Roman"/>
          <w:i/>
          <w:color w:val="auto"/>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427184" w:rsidRPr="00427184" w:rsidRDefault="00427184" w:rsidP="00427184">
      <w:pPr>
        <w:widowControl/>
        <w:spacing w:after="160" w:line="259" w:lineRule="auto"/>
        <w:ind w:left="1350" w:firstLine="0"/>
        <w:rPr>
          <w:rFonts w:ascii="Calibri" w:eastAsia="Calibri" w:hAnsi="Calibri" w:cs="Times New Roman"/>
          <w:color w:val="auto"/>
          <w:sz w:val="18"/>
          <w:szCs w:val="18"/>
        </w:rPr>
      </w:pPr>
      <w:r w:rsidRPr="00427184">
        <w:rPr>
          <w:rFonts w:ascii="Calibri" w:eastAsia="Calibri" w:hAnsi="Calibri" w:cs="Times New Roman"/>
          <w:b/>
          <w:noProof/>
          <w:color w:val="auto"/>
          <w:sz w:val="18"/>
          <w:szCs w:val="18"/>
        </w:rPr>
        <w:drawing>
          <wp:anchor distT="0" distB="0" distL="114300" distR="114300" simplePos="0" relativeHeight="251659264" behindDoc="0" locked="0" layoutInCell="1" allowOverlap="1" wp14:anchorId="0D3B3C3D" wp14:editId="3482A19D">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427184">
        <w:rPr>
          <w:rFonts w:ascii="Calibri" w:eastAsia="Calibri" w:hAnsi="Calibri" w:cs="Times New Roman"/>
          <w:color w:val="auto"/>
          <w:sz w:val="18"/>
          <w:szCs w:val="18"/>
          <w:u w:val="single"/>
        </w:rPr>
        <w:t>U. S. Department of Labor</w:t>
      </w:r>
    </w:p>
    <w:p w:rsidR="00427184" w:rsidRPr="00427184" w:rsidRDefault="00427184" w:rsidP="00427184">
      <w:pPr>
        <w:widowControl/>
        <w:spacing w:after="160" w:line="259" w:lineRule="auto"/>
        <w:ind w:left="0" w:firstLine="0"/>
        <w:rPr>
          <w:rFonts w:ascii="Calibri" w:eastAsia="Calibri" w:hAnsi="Calibri" w:cs="Times New Roman"/>
          <w:i/>
          <w:color w:val="auto"/>
          <w:sz w:val="18"/>
          <w:szCs w:val="18"/>
        </w:rPr>
      </w:pPr>
      <w:r w:rsidRPr="00427184">
        <w:rPr>
          <w:rFonts w:ascii="Calibri" w:eastAsia="Calibri" w:hAnsi="Calibri" w:cs="Times New Roman"/>
          <w:i/>
          <w:color w:val="auto"/>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427184" w:rsidRPr="00427184" w:rsidRDefault="00427184" w:rsidP="00427184">
      <w:pPr>
        <w:widowControl/>
        <w:spacing w:after="160" w:line="259" w:lineRule="auto"/>
        <w:ind w:left="1350" w:firstLine="0"/>
        <w:rPr>
          <w:rFonts w:ascii="Calibri" w:eastAsia="Calibri" w:hAnsi="Calibri" w:cs="Times New Roman"/>
          <w:color w:val="auto"/>
          <w:sz w:val="18"/>
          <w:szCs w:val="18"/>
        </w:rPr>
      </w:pPr>
      <w:r w:rsidRPr="00427184">
        <w:rPr>
          <w:rFonts w:ascii="Calibri" w:eastAsia="Calibri" w:hAnsi="Calibri" w:cs="Times New Roman"/>
          <w:color w:val="auto"/>
          <w:sz w:val="18"/>
          <w:szCs w:val="18"/>
          <w:u w:val="single"/>
        </w:rPr>
        <w:t>DOL Attribution</w:t>
      </w:r>
    </w:p>
    <w:p w:rsidR="00427184" w:rsidRPr="00427184" w:rsidRDefault="00427184" w:rsidP="00427184">
      <w:pPr>
        <w:widowControl/>
        <w:spacing w:after="160" w:line="259" w:lineRule="auto"/>
        <w:ind w:left="0" w:firstLine="0"/>
        <w:rPr>
          <w:rFonts w:ascii="Calibri" w:eastAsia="Calibri" w:hAnsi="Calibri" w:cs="Times New Roman"/>
          <w:i/>
          <w:color w:val="auto"/>
          <w:sz w:val="22"/>
          <w:szCs w:val="22"/>
        </w:rPr>
      </w:pPr>
      <w:r w:rsidRPr="00427184">
        <w:rPr>
          <w:rFonts w:ascii="Calibri" w:eastAsia="Calibri" w:hAnsi="Calibri" w:cs="Times New Roman"/>
          <w:noProof/>
          <w:color w:val="auto"/>
          <w:sz w:val="18"/>
          <w:szCs w:val="18"/>
          <w:u w:val="single"/>
        </w:rPr>
        <w:drawing>
          <wp:anchor distT="0" distB="0" distL="114300" distR="114300" simplePos="0" relativeHeight="251660288" behindDoc="0" locked="0" layoutInCell="1" allowOverlap="1" wp14:anchorId="127ED962" wp14:editId="276633CF">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427184">
        <w:rPr>
          <w:rFonts w:ascii="Calibri" w:eastAsia="Calibri" w:hAnsi="Calibri" w:cs="Times New Roman"/>
          <w:i/>
          <w:color w:val="auto"/>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232E8" w:rsidRDefault="009232E8">
      <w:pPr>
        <w:ind w:left="0" w:firstLine="0"/>
      </w:pPr>
      <w:bookmarkStart w:id="1" w:name="_GoBack"/>
      <w:bookmarkEnd w:id="1"/>
    </w:p>
    <w:sectPr w:rsidR="009232E8">
      <w:headerReference w:type="default" r:id="rId7"/>
      <w:footerReference w:type="default" r:id="rId8"/>
      <w:pgSz w:w="12240" w:h="15840"/>
      <w:pgMar w:top="1440" w:right="1008"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7184">
      <w:r>
        <w:separator/>
      </w:r>
    </w:p>
  </w:endnote>
  <w:endnote w:type="continuationSeparator" w:id="0">
    <w:p w:rsidR="00000000" w:rsidRDefault="004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4" w:rsidRDefault="00427184">
    <w:pPr>
      <w:pStyle w:val="Footer"/>
    </w:pPr>
    <w:r w:rsidRPr="004A1CCA">
      <w:rPr>
        <w:rFonts w:eastAsia="Calibri"/>
        <w:noProof/>
      </w:rPr>
      <w:drawing>
        <wp:inline distT="0" distB="0" distL="0" distR="0" wp14:anchorId="2C7EAF07" wp14:editId="130D7CAF">
          <wp:extent cx="5486400" cy="369277"/>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7184">
      <w:r>
        <w:separator/>
      </w:r>
    </w:p>
  </w:footnote>
  <w:footnote w:type="continuationSeparator" w:id="0">
    <w:p w:rsidR="00000000" w:rsidRDefault="0042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E8" w:rsidRDefault="00427184">
    <w:pPr>
      <w:tabs>
        <w:tab w:val="center" w:pos="4680"/>
        <w:tab w:val="right" w:pos="9360"/>
      </w:tabs>
      <w:spacing w:before="720"/>
      <w:ind w:left="0" w:firstLine="0"/>
    </w:pPr>
    <w:r>
      <w:rPr>
        <w:noProof/>
      </w:rPr>
      <w:drawing>
        <wp:inline distT="0" distB="0" distL="0" distR="0">
          <wp:extent cx="3712464" cy="64922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12464" cy="649224"/>
                  </a:xfrm>
                  <a:prstGeom prst="rect">
                    <a:avLst/>
                  </a:prstGeom>
                  <a:ln/>
                </pic:spPr>
              </pic:pic>
            </a:graphicData>
          </a:graphic>
        </wp:inline>
      </w:drawing>
    </w:r>
    <w:r>
      <w:tab/>
    </w:r>
    <w:r>
      <w:rPr>
        <w:noProof/>
      </w:rPr>
      <w:drawing>
        <wp:inline distT="0" distB="0" distL="0" distR="0">
          <wp:extent cx="1085850" cy="9239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85850" cy="923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E8"/>
    <w:rsid w:val="00427184"/>
    <w:rsid w:val="0092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5D50-5901-4C27-AFAC-7F66E956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27184"/>
    <w:pPr>
      <w:tabs>
        <w:tab w:val="center" w:pos="4680"/>
        <w:tab w:val="right" w:pos="9360"/>
      </w:tabs>
    </w:pPr>
  </w:style>
  <w:style w:type="character" w:customStyle="1" w:styleId="HeaderChar">
    <w:name w:val="Header Char"/>
    <w:basedOn w:val="DefaultParagraphFont"/>
    <w:link w:val="Header"/>
    <w:uiPriority w:val="99"/>
    <w:rsid w:val="00427184"/>
  </w:style>
  <w:style w:type="paragraph" w:styleId="Footer">
    <w:name w:val="footer"/>
    <w:basedOn w:val="Normal"/>
    <w:link w:val="FooterChar"/>
    <w:uiPriority w:val="99"/>
    <w:unhideWhenUsed/>
    <w:rsid w:val="00427184"/>
    <w:pPr>
      <w:tabs>
        <w:tab w:val="center" w:pos="4680"/>
        <w:tab w:val="right" w:pos="9360"/>
      </w:tabs>
    </w:pPr>
  </w:style>
  <w:style w:type="character" w:customStyle="1" w:styleId="FooterChar">
    <w:name w:val="Footer Char"/>
    <w:basedOn w:val="DefaultParagraphFont"/>
    <w:link w:val="Footer"/>
    <w:uiPriority w:val="99"/>
    <w:rsid w:val="0042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 Jarvis</dc:creator>
  <cp:lastModifiedBy>Pat A Jarvis</cp:lastModifiedBy>
  <cp:revision>2</cp:revision>
  <dcterms:created xsi:type="dcterms:W3CDTF">2017-05-18T22:13:00Z</dcterms:created>
  <dcterms:modified xsi:type="dcterms:W3CDTF">2017-05-18T22:13:00Z</dcterms:modified>
</cp:coreProperties>
</file>