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4B" w:rsidRDefault="00425A4B" w:rsidP="00425A4B">
      <w:pPr>
        <w:rPr>
          <w:rFonts w:ascii="Times New Roman" w:eastAsia="Calibri" w:hAnsi="Times New Roman" w:cs="Times New Roman"/>
          <w:b/>
          <w:sz w:val="24"/>
          <w:szCs w:val="24"/>
        </w:rPr>
      </w:pPr>
    </w:p>
    <w:p w:rsidR="00425A4B" w:rsidRDefault="00425A4B" w:rsidP="00425A4B">
      <w:pPr>
        <w:rPr>
          <w:rFonts w:ascii="Times New Roman" w:eastAsia="Calibri" w:hAnsi="Times New Roman" w:cs="Times New Roman"/>
          <w:sz w:val="24"/>
          <w:szCs w:val="24"/>
        </w:rPr>
      </w:pPr>
      <w:r>
        <w:rPr>
          <w:rFonts w:ascii="Times New Roman" w:eastAsia="Calibri" w:hAnsi="Times New Roman" w:cs="Times New Roman"/>
          <w:b/>
          <w:sz w:val="24"/>
          <w:szCs w:val="24"/>
        </w:rPr>
        <w:t>Adult Basic Education Pathways</w:t>
      </w:r>
      <w:r w:rsidRPr="00A7129B">
        <w:rPr>
          <w:rFonts w:ascii="Times New Roman" w:eastAsia="Calibri" w:hAnsi="Times New Roman" w:cs="Times New Roman"/>
          <w:b/>
          <w:sz w:val="24"/>
          <w:szCs w:val="24"/>
        </w:rPr>
        <w:t xml:space="preserve"> to Strengthen Basic Skills in </w:t>
      </w:r>
      <w:r>
        <w:rPr>
          <w:rFonts w:ascii="Times New Roman" w:eastAsia="Calibri" w:hAnsi="Times New Roman" w:cs="Times New Roman"/>
          <w:b/>
          <w:spacing w:val="8"/>
          <w:sz w:val="24"/>
          <w:szCs w:val="24"/>
        </w:rPr>
        <w:t>Industrial Technology</w:t>
      </w:r>
      <w:r w:rsidRPr="004A3520">
        <w:rPr>
          <w:rFonts w:ascii="Times New Roman" w:eastAsia="Calibri" w:hAnsi="Times New Roman" w:cs="Times New Roman"/>
          <w:b/>
          <w:spacing w:val="21"/>
          <w:sz w:val="24"/>
          <w:szCs w:val="24"/>
        </w:rPr>
        <w:t xml:space="preserve"> </w:t>
      </w:r>
    </w:p>
    <w:p w:rsidR="00425A4B" w:rsidRDefault="00425A4B" w:rsidP="00425A4B">
      <w:pPr>
        <w:rPr>
          <w:rFonts w:ascii="Times New Roman" w:hAnsi="Times New Roman" w:cs="Times New Roman"/>
          <w:sz w:val="24"/>
          <w:szCs w:val="24"/>
        </w:rPr>
      </w:pPr>
      <w:r>
        <w:rPr>
          <w:rFonts w:ascii="Times New Roman" w:eastAsia="Calibri" w:hAnsi="Times New Roman" w:cs="Times New Roman"/>
          <w:sz w:val="24"/>
          <w:szCs w:val="24"/>
        </w:rPr>
        <w:t xml:space="preserve">The Industrial Technology (formerly Industrial/Facilities Maintenance) program at Amarillo College was a long-standing training program with many years of history when the Round Two TAACCCT grant was implemented. To </w:t>
      </w:r>
      <w:r>
        <w:rPr>
          <w:rFonts w:ascii="Times New Roman" w:eastAsia="Calibri" w:hAnsi="Times New Roman" w:cs="Times New Roman"/>
          <w:sz w:val="24"/>
          <w:szCs w:val="24"/>
        </w:rPr>
        <w:t xml:space="preserve">accelerate progress and </w:t>
      </w:r>
      <w:r>
        <w:rPr>
          <w:rFonts w:ascii="Times New Roman" w:eastAsia="Calibri" w:hAnsi="Times New Roman" w:cs="Times New Roman"/>
          <w:sz w:val="24"/>
          <w:szCs w:val="24"/>
        </w:rPr>
        <w:t>ensure that all students, regardless of basic math and English skills proficiency, were given every opportunity to master course competencies, the TAACCCT grant project implemented the following interventions for the Industrial Technology courses that were considered the most challenging (</w:t>
      </w:r>
      <w:r>
        <w:rPr>
          <w:rFonts w:ascii="Times New Roman" w:hAnsi="Times New Roman" w:cs="Times New Roman"/>
          <w:sz w:val="24"/>
          <w:szCs w:val="24"/>
          <w:u w:val="single"/>
        </w:rPr>
        <w:t>Refrigeration Principles</w:t>
      </w:r>
      <w:r w:rsidRPr="00E71D0E">
        <w:rPr>
          <w:rFonts w:ascii="Times New Roman" w:hAnsi="Times New Roman" w:cs="Times New Roman"/>
          <w:sz w:val="24"/>
          <w:szCs w:val="24"/>
          <w:u w:val="single"/>
        </w:rPr>
        <w:t xml:space="preserve"> </w:t>
      </w:r>
      <w:r>
        <w:rPr>
          <w:rFonts w:ascii="Times New Roman" w:hAnsi="Times New Roman" w:cs="Times New Roman"/>
          <w:sz w:val="24"/>
          <w:szCs w:val="24"/>
        </w:rPr>
        <w:t>and</w:t>
      </w:r>
      <w:r w:rsidRPr="00E71D0E">
        <w:rPr>
          <w:rFonts w:ascii="Times New Roman" w:hAnsi="Times New Roman" w:cs="Times New Roman"/>
          <w:sz w:val="24"/>
          <w:szCs w:val="24"/>
          <w:u w:val="single"/>
        </w:rPr>
        <w:t xml:space="preserve"> Motor Controls</w:t>
      </w:r>
      <w:r>
        <w:rPr>
          <w:rFonts w:ascii="Times New Roman" w:hAnsi="Times New Roman" w:cs="Times New Roman"/>
          <w:sz w:val="24"/>
          <w:szCs w:val="24"/>
        </w:rPr>
        <w:t>):</w:t>
      </w:r>
    </w:p>
    <w:p w:rsidR="00425A4B" w:rsidRPr="00A64E4F" w:rsidRDefault="00425A4B" w:rsidP="00425A4B">
      <w:pPr>
        <w:rPr>
          <w:rFonts w:ascii="Times New Roman" w:eastAsia="Calibri" w:hAnsi="Times New Roman" w:cs="Times New Roman"/>
          <w:sz w:val="24"/>
          <w:szCs w:val="24"/>
        </w:rPr>
      </w:pPr>
    </w:p>
    <w:p w:rsidR="00425A4B" w:rsidRDefault="00425A4B" w:rsidP="00425A4B">
      <w:pPr>
        <w:pStyle w:val="ListParagraph"/>
        <w:numPr>
          <w:ilvl w:val="0"/>
          <w:numId w:val="1"/>
        </w:numPr>
        <w:rPr>
          <w:rFonts w:ascii="Times New Roman" w:eastAsia="Calibri" w:hAnsi="Times New Roman" w:cs="Times New Roman"/>
          <w:sz w:val="24"/>
          <w:szCs w:val="24"/>
        </w:rPr>
      </w:pPr>
      <w:r w:rsidRPr="00D13379">
        <w:rPr>
          <w:rFonts w:ascii="Times New Roman" w:eastAsia="Calibri" w:hAnsi="Times New Roman" w:cs="Times New Roman"/>
          <w:sz w:val="24"/>
          <w:szCs w:val="24"/>
        </w:rPr>
        <w:t xml:space="preserve"> </w:t>
      </w:r>
      <w:r w:rsidRPr="007D7E1F">
        <w:rPr>
          <w:rFonts w:ascii="Times New Roman" w:eastAsia="Calibri" w:hAnsi="Times New Roman" w:cs="Times New Roman"/>
          <w:sz w:val="24"/>
          <w:szCs w:val="24"/>
          <w:u w:val="single"/>
        </w:rPr>
        <w:t xml:space="preserve">Hired </w:t>
      </w:r>
      <w:r>
        <w:rPr>
          <w:rFonts w:ascii="Times New Roman" w:eastAsia="Calibri" w:hAnsi="Times New Roman" w:cs="Times New Roman"/>
          <w:sz w:val="24"/>
          <w:szCs w:val="24"/>
          <w:u w:val="single"/>
        </w:rPr>
        <w:t>one</w:t>
      </w:r>
      <w:r w:rsidRPr="007D7E1F">
        <w:rPr>
          <w:rFonts w:ascii="Times New Roman" w:eastAsia="Calibri" w:hAnsi="Times New Roman" w:cs="Times New Roman"/>
          <w:sz w:val="24"/>
          <w:szCs w:val="24"/>
          <w:u w:val="single"/>
        </w:rPr>
        <w:t xml:space="preserve"> part-time Adult Basic Education (ABE) supplemental instructor</w:t>
      </w:r>
      <w:r>
        <w:rPr>
          <w:rFonts w:ascii="Times New Roman" w:eastAsia="Calibri" w:hAnsi="Times New Roman" w:cs="Times New Roman"/>
          <w:sz w:val="24"/>
          <w:szCs w:val="24"/>
        </w:rPr>
        <w:t xml:space="preserve"> to (a) observe classes in selected courses; (b) study the manual and student handouts; (c) create contextualized learning materials to help students study and learn the technical vocabulary, related math skills, and basic concepts required to master course competencies; and (d) provide one-on-one tutoring as needed, both during and after class. </w:t>
      </w:r>
    </w:p>
    <w:p w:rsidR="00425A4B" w:rsidRDefault="00425A4B" w:rsidP="00425A4B">
      <w:pPr>
        <w:pStyle w:val="ListParagraph"/>
        <w:ind w:left="1080"/>
        <w:rPr>
          <w:rFonts w:ascii="Times New Roman" w:eastAsia="Calibri" w:hAnsi="Times New Roman" w:cs="Times New Roman"/>
          <w:sz w:val="24"/>
          <w:szCs w:val="24"/>
        </w:rPr>
      </w:pPr>
    </w:p>
    <w:p w:rsidR="00425A4B" w:rsidRDefault="00425A4B" w:rsidP="00425A4B">
      <w:pPr>
        <w:pStyle w:val="ListParagraph"/>
        <w:numPr>
          <w:ilvl w:val="0"/>
          <w:numId w:val="1"/>
        </w:numPr>
        <w:rPr>
          <w:rFonts w:ascii="Times New Roman" w:eastAsia="Calibri" w:hAnsi="Times New Roman" w:cs="Times New Roman"/>
          <w:sz w:val="24"/>
          <w:szCs w:val="24"/>
        </w:rPr>
      </w:pPr>
      <w:r w:rsidRPr="007D7E1F">
        <w:rPr>
          <w:rFonts w:ascii="Times New Roman" w:eastAsia="Calibri" w:hAnsi="Times New Roman" w:cs="Times New Roman"/>
          <w:sz w:val="24"/>
          <w:szCs w:val="24"/>
          <w:u w:val="single"/>
        </w:rPr>
        <w:t>Started using the Test of Adult Basic Education (TABE)</w:t>
      </w:r>
      <w:r>
        <w:rPr>
          <w:rFonts w:ascii="Times New Roman" w:eastAsia="Calibri" w:hAnsi="Times New Roman" w:cs="Times New Roman"/>
          <w:sz w:val="24"/>
          <w:szCs w:val="24"/>
        </w:rPr>
        <w:t xml:space="preserve"> during the first week of class to obtain a quick diagnostic of individual students’ levels of math and English skills. This helped both the ABE supplemental instructor and the regular classroom instructor to identify students with lower </w:t>
      </w:r>
      <w:r>
        <w:rPr>
          <w:rFonts w:ascii="Times New Roman" w:eastAsia="Calibri" w:hAnsi="Times New Roman" w:cs="Times New Roman"/>
          <w:sz w:val="24"/>
          <w:szCs w:val="24"/>
        </w:rPr>
        <w:t>basic</w:t>
      </w:r>
      <w:bookmarkStart w:id="0" w:name="_GoBack"/>
      <w:bookmarkEnd w:id="0"/>
      <w:r>
        <w:rPr>
          <w:rFonts w:ascii="Times New Roman" w:eastAsia="Calibri" w:hAnsi="Times New Roman" w:cs="Times New Roman"/>
          <w:sz w:val="24"/>
          <w:szCs w:val="24"/>
        </w:rPr>
        <w:t xml:space="preserve"> skills, which helped them channel extra study assistance to these students.</w:t>
      </w:r>
    </w:p>
    <w:p w:rsidR="00425A4B" w:rsidRPr="004A3520" w:rsidRDefault="00425A4B" w:rsidP="00425A4B">
      <w:pPr>
        <w:pStyle w:val="ListParagraph"/>
        <w:rPr>
          <w:rFonts w:ascii="Times New Roman" w:eastAsia="Calibri" w:hAnsi="Times New Roman" w:cs="Times New Roman"/>
          <w:sz w:val="24"/>
          <w:szCs w:val="24"/>
        </w:rPr>
      </w:pPr>
    </w:p>
    <w:p w:rsidR="00425A4B" w:rsidRDefault="00425A4B" w:rsidP="00425A4B">
      <w:pPr>
        <w:pStyle w:val="ListParagraph"/>
        <w:numPr>
          <w:ilvl w:val="0"/>
          <w:numId w:val="1"/>
        </w:numPr>
        <w:rPr>
          <w:rFonts w:ascii="Times New Roman" w:eastAsia="Calibri" w:hAnsi="Times New Roman" w:cs="Times New Roman"/>
          <w:sz w:val="24"/>
          <w:szCs w:val="24"/>
        </w:rPr>
      </w:pPr>
      <w:r w:rsidRPr="004A3520">
        <w:rPr>
          <w:rFonts w:ascii="Times New Roman" w:eastAsia="Calibri" w:hAnsi="Times New Roman" w:cs="Times New Roman"/>
          <w:sz w:val="24"/>
          <w:szCs w:val="24"/>
          <w:u w:val="single"/>
        </w:rPr>
        <w:t>Provided an additional resource to students in the classroom</w:t>
      </w:r>
      <w:r>
        <w:rPr>
          <w:rFonts w:ascii="Times New Roman" w:eastAsia="Calibri" w:hAnsi="Times New Roman" w:cs="Times New Roman"/>
          <w:sz w:val="24"/>
          <w:szCs w:val="24"/>
        </w:rPr>
        <w:t xml:space="preserve"> when students were studying. If students were reluctant to ask the Industrial Technology instructor for help, they might feel more comfortable asking the ABE supplemental instructor. </w:t>
      </w:r>
    </w:p>
    <w:p w:rsidR="00425A4B" w:rsidRPr="007D7E1F" w:rsidRDefault="00425A4B" w:rsidP="00425A4B">
      <w:pPr>
        <w:pStyle w:val="ListParagraph"/>
        <w:rPr>
          <w:rFonts w:ascii="Times New Roman" w:eastAsia="Calibri" w:hAnsi="Times New Roman" w:cs="Times New Roman"/>
          <w:sz w:val="24"/>
          <w:szCs w:val="24"/>
        </w:rPr>
      </w:pPr>
    </w:p>
    <w:p w:rsidR="00425A4B" w:rsidRPr="00D13379" w:rsidRDefault="00425A4B" w:rsidP="00425A4B">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u w:val="single"/>
        </w:rPr>
        <w:t>Offered one-on-one</w:t>
      </w:r>
      <w:r w:rsidRPr="004A3520">
        <w:rPr>
          <w:rFonts w:ascii="Times New Roman" w:eastAsia="Calibri" w:hAnsi="Times New Roman" w:cs="Times New Roman"/>
          <w:sz w:val="24"/>
          <w:szCs w:val="24"/>
          <w:u w:val="single"/>
        </w:rPr>
        <w:t xml:space="preserve"> tutoring to students </w:t>
      </w:r>
      <w:r>
        <w:rPr>
          <w:rFonts w:ascii="Times New Roman" w:eastAsia="Calibri" w:hAnsi="Times New Roman" w:cs="Times New Roman"/>
          <w:sz w:val="24"/>
          <w:szCs w:val="24"/>
        </w:rPr>
        <w:t xml:space="preserve">outside of class, based on student need. </w:t>
      </w:r>
    </w:p>
    <w:p w:rsidR="00425A4B" w:rsidRDefault="00425A4B" w:rsidP="00425A4B">
      <w:pPr>
        <w:rPr>
          <w:rFonts w:ascii="Times New Roman" w:eastAsia="Calibri" w:hAnsi="Times New Roman" w:cs="Times New Roman"/>
          <w:sz w:val="24"/>
          <w:szCs w:val="24"/>
        </w:rPr>
      </w:pPr>
    </w:p>
    <w:p w:rsidR="00B878AC" w:rsidRDefault="00425A4B" w:rsidP="00425A4B">
      <w:r>
        <w:rPr>
          <w:rFonts w:ascii="Times New Roman" w:eastAsia="Calibri" w:hAnsi="Times New Roman" w:cs="Times New Roman"/>
          <w:sz w:val="24"/>
          <w:szCs w:val="24"/>
        </w:rPr>
        <w:t>By the time the TAACCCT grant funds for student support ended in 2016, Industrial Technology students were being referred to the Access Learning Center on campus if tutoring was needed, as most students in this program did not routinely need tutoring by the time they were in the second or third semester of training. The pre-TABE instrument is now administered to all students enrolled in credit-bearing training programs on the technical campus during the first week of the first semester, and the post-TABE is administered at the end of the first 8-week block of classes.</w:t>
      </w:r>
    </w:p>
    <w:sectPr w:rsidR="00B878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A6" w:rsidRDefault="006E7BA6" w:rsidP="00461082">
      <w:pPr>
        <w:spacing w:after="0"/>
      </w:pPr>
      <w:r>
        <w:separator/>
      </w:r>
    </w:p>
  </w:endnote>
  <w:endnote w:type="continuationSeparator" w:id="0">
    <w:p w:rsidR="006E7BA6" w:rsidRDefault="006E7BA6" w:rsidP="00461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Pr="00461082" w:rsidRDefault="00461082" w:rsidP="00461082">
    <w:pPr>
      <w:tabs>
        <w:tab w:val="center" w:pos="4680"/>
        <w:tab w:val="right" w:pos="9360"/>
      </w:tabs>
      <w:spacing w:after="0"/>
    </w:pPr>
  </w:p>
  <w:p w:rsidR="00461082" w:rsidRPr="00461082" w:rsidRDefault="00461082" w:rsidP="00461082">
    <w:pPr>
      <w:tabs>
        <w:tab w:val="center" w:pos="4680"/>
        <w:tab w:val="right" w:pos="9360"/>
      </w:tabs>
      <w:spacing w:after="0"/>
      <w:rPr>
        <w:sz w:val="16"/>
        <w:szCs w:val="16"/>
      </w:rPr>
    </w:pPr>
    <w:r w:rsidRPr="00461082">
      <w:rPr>
        <w:rFonts w:ascii="Calibri" w:hAnsi="Calibri"/>
        <w:sz w:val="18"/>
        <w:szCs w:val="18"/>
      </w:rPr>
      <w:t xml:space="preserve">           </w:t>
    </w:r>
    <w:r w:rsidRPr="00461082">
      <w:rPr>
        <w:rFonts w:ascii="Calibri" w:hAnsi="Calibri"/>
        <w:sz w:val="16"/>
        <w:szCs w:val="16"/>
      </w:rPr>
      <w:t>ACTAACCCT</w:t>
    </w:r>
    <w:r w:rsidRPr="00461082">
      <w:rPr>
        <w:rFonts w:ascii="Calibri" w:hAnsi="Calibri"/>
        <w:sz w:val="18"/>
        <w:szCs w:val="18"/>
      </w:rPr>
      <w:t xml:space="preserve"> </w:t>
    </w:r>
    <w:r w:rsidRPr="00461082">
      <w:rPr>
        <w:rFonts w:ascii="Calibri" w:hAnsi="Calibri"/>
        <w:sz w:val="16"/>
        <w:szCs w:val="16"/>
      </w:rPr>
      <w:t xml:space="preserve">by </w:t>
    </w:r>
    <w:hyperlink r:id="rId1" w:history="1">
      <w:r w:rsidRPr="00461082">
        <w:rPr>
          <w:rFonts w:ascii="Calibri" w:hAnsi="Calibri"/>
          <w:color w:val="0000FF"/>
          <w:sz w:val="16"/>
          <w:szCs w:val="16"/>
          <w:u w:val="single"/>
        </w:rPr>
        <w:t>Amarillo College TAACCCT Grant</w:t>
      </w:r>
    </w:hyperlink>
    <w:r w:rsidRPr="00461082">
      <w:rPr>
        <w:rFonts w:ascii="Calibri" w:hAnsi="Calibri"/>
        <w:sz w:val="16"/>
        <w:szCs w:val="16"/>
      </w:rPr>
      <w:t xml:space="preserve">  is licensed under a </w:t>
    </w:r>
    <w:hyperlink r:id="rId2" w:history="1">
      <w:r w:rsidRPr="00461082">
        <w:rPr>
          <w:rFonts w:ascii="Calibri" w:hAnsi="Calibri"/>
          <w:color w:val="0000FF"/>
          <w:sz w:val="16"/>
          <w:szCs w:val="16"/>
          <w:u w:val="single"/>
        </w:rPr>
        <w:t>Creative Commons Attribution 4.0 International License</w:t>
      </w:r>
    </w:hyperlink>
    <w:r w:rsidRPr="00461082">
      <w:rPr>
        <w:rFonts w:ascii="Calibri" w:hAnsi="Calibri"/>
        <w:sz w:val="16"/>
        <w:szCs w:val="16"/>
      </w:rPr>
      <w:t>.</w:t>
    </w:r>
  </w:p>
  <w:tbl>
    <w:tblPr>
      <w:tblW w:w="11070" w:type="dxa"/>
      <w:tblInd w:w="-713" w:type="dxa"/>
      <w:tblLayout w:type="fixed"/>
      <w:tblLook w:val="0600" w:firstRow="0" w:lastRow="0" w:firstColumn="0" w:lastColumn="0" w:noHBand="1" w:noVBand="1"/>
    </w:tblPr>
    <w:tblGrid>
      <w:gridCol w:w="1199"/>
      <w:gridCol w:w="8857"/>
      <w:gridCol w:w="1014"/>
    </w:tblGrid>
    <w:tr w:rsidR="00461082" w:rsidRPr="00461082" w:rsidTr="00CC0325">
      <w:trPr>
        <w:trHeight w:val="955"/>
      </w:trPr>
      <w:tc>
        <w:tcPr>
          <w:tcW w:w="1199" w:type="dxa"/>
          <w:tcMar>
            <w:top w:w="0" w:type="dxa"/>
            <w:left w:w="0" w:type="dxa"/>
            <w:bottom w:w="0" w:type="dxa"/>
            <w:right w:w="0" w:type="dxa"/>
          </w:tcMar>
          <w:vAlign w:val="center"/>
          <w:hideMark/>
        </w:tcPr>
        <w:p w:rsidR="00461082" w:rsidRPr="00461082" w:rsidRDefault="00461082" w:rsidP="00461082">
          <w:pPr>
            <w:widowControl w:val="0"/>
            <w:spacing w:after="0"/>
            <w:rPr>
              <w:rFonts w:ascii="Arial" w:eastAsia="Arial" w:hAnsi="Arial" w:cs="Arial"/>
              <w:color w:val="000000"/>
            </w:rPr>
          </w:pPr>
          <w:r w:rsidRPr="00461082">
            <w:rPr>
              <w:rFonts w:ascii="Arial" w:eastAsia="Arial" w:hAnsi="Arial" w:cs="Arial"/>
              <w:noProof/>
              <w:color w:val="000000"/>
            </w:rPr>
            <w:drawing>
              <wp:inline distT="0" distB="0" distL="0" distR="0" wp14:anchorId="291ABCBB" wp14:editId="01C72CC0">
                <wp:extent cx="628650" cy="219075"/>
                <wp:effectExtent l="0" t="0" r="0" b="9525"/>
                <wp:docPr id="1" name="Picture 1" descr="CC_by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descr="CC_by_m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rsidR="00461082" w:rsidRPr="00461082" w:rsidRDefault="00461082" w:rsidP="00461082">
          <w:pPr>
            <w:widowControl w:val="0"/>
            <w:spacing w:after="0"/>
            <w:rPr>
              <w:rFonts w:ascii="Arial" w:eastAsia="Arial" w:hAnsi="Arial" w:cs="Arial"/>
              <w:color w:val="000000"/>
            </w:rPr>
          </w:pPr>
          <w:r w:rsidRPr="00461082">
            <w:rPr>
              <w:rFonts w:ascii="Calibri" w:eastAsia="Calibri" w:hAnsi="Calibri" w:cs="Calibri"/>
              <w:color w:val="000000"/>
              <w:sz w:val="12"/>
              <w:szCs w:val="12"/>
            </w:rPr>
            <w:t xml:space="preserve"> </w:t>
          </w:r>
          <w:hyperlink r:id="rId4" w:history="1">
            <w:r w:rsidRPr="00461082">
              <w:rPr>
                <w:rFonts w:ascii="Calibri" w:eastAsia="Calibri" w:hAnsi="Calibri" w:cs="Calibri"/>
                <w:color w:val="0000FF"/>
                <w:sz w:val="12"/>
                <w:szCs w:val="12"/>
                <w:u w:val="single"/>
              </w:rPr>
              <w:t>Amarillo College</w:t>
            </w:r>
          </w:hyperlink>
        </w:p>
      </w:tc>
      <w:tc>
        <w:tcPr>
          <w:tcW w:w="8856" w:type="dxa"/>
          <w:tcMar>
            <w:top w:w="0" w:type="dxa"/>
            <w:left w:w="0" w:type="dxa"/>
            <w:bottom w:w="0" w:type="dxa"/>
            <w:right w:w="0" w:type="dxa"/>
          </w:tcMar>
          <w:vAlign w:val="center"/>
          <w:hideMark/>
        </w:tcPr>
        <w:p w:rsidR="00461082" w:rsidRPr="00461082" w:rsidRDefault="00461082" w:rsidP="00461082">
          <w:pPr>
            <w:widowControl w:val="0"/>
            <w:spacing w:after="0"/>
            <w:jc w:val="both"/>
            <w:rPr>
              <w:rFonts w:ascii="Arial" w:eastAsia="Arial" w:hAnsi="Arial" w:cs="Arial"/>
              <w:color w:val="000000"/>
            </w:rPr>
          </w:pPr>
          <w:r w:rsidRPr="00461082">
            <w:rPr>
              <w:rFonts w:ascii="Arial" w:eastAsia="Arial" w:hAnsi="Arial" w:cs="Arial"/>
              <w:noProof/>
              <w:color w:val="000000"/>
            </w:rPr>
            <mc:AlternateContent>
              <mc:Choice Requires="wpg">
                <w:drawing>
                  <wp:anchor distT="0" distB="0" distL="114300" distR="114300" simplePos="0" relativeHeight="251659264" behindDoc="0" locked="0" layoutInCell="1" allowOverlap="1" wp14:anchorId="510C7AEB" wp14:editId="66D479EA">
                    <wp:simplePos x="0" y="0"/>
                    <wp:positionH relativeFrom="page">
                      <wp:posOffset>-1219200</wp:posOffset>
                    </wp:positionH>
                    <wp:positionV relativeFrom="bottomMargin">
                      <wp:posOffset>248920</wp:posOffset>
                    </wp:positionV>
                    <wp:extent cx="5943600" cy="274320"/>
                    <wp:effectExtent l="0" t="0" r="0" b="0"/>
                    <wp:wrapNone/>
                    <wp:docPr id="4" name="Group 4"/>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6" name="Rectangle 6"/>
                            <wps:cNvSpPr/>
                            <wps:spPr>
                              <a:xfrm>
                                <a:off x="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28600" y="0"/>
                                <a:ext cx="5353050" cy="252730"/>
                              </a:xfrm>
                              <a:prstGeom prst="rect">
                                <a:avLst/>
                              </a:prstGeom>
                              <a:noFill/>
                              <a:ln w="6350">
                                <a:noFill/>
                              </a:ln>
                              <a:effectLst/>
                            </wps:spPr>
                            <wps:txbx>
                              <w:txbxContent>
                                <w:p w:rsidR="00461082" w:rsidRDefault="00461082" w:rsidP="00461082">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10C7AEB" id="Group 4" o:spid="_x0000_s1026" style="position:absolute;left:0;text-align:left;margin-left:-96pt;margin-top:19.6pt;width:468pt;height:21.6pt;z-index:251659264;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">
                    <v:rect id="Rectangle 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tBcMA&#10;AADaAAAADwAAAGRycy9kb3ducmV2LnhtbESPQWvCQBSE74X+h+UVvNVNFUOJbkKxtOqxURBvj+wz&#10;iWbfhuxW1/76rlDocZiZb5hFEUwnLjS41rKCl3ECgriyuuVawW778fwKwnlkjZ1lUnAjB0X++LDA&#10;TNsrf9Gl9LWIEHYZKmi87zMpXdWQQTe2PXH0jnYw6KMcaqkHvEa46eQkSVJpsOW40GBPy4aqc/lt&#10;FNDqfRn2W/eTTsOhrE7d7HOyOSg1egpvcxCegv8P/7XXWkEK9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htBcMAAADaAAAADwAAAAAAAAAAAAAAAACYAgAAZHJzL2Rv&#10;d25yZXYueG1sUEsFBgAAAAAEAAQA9QAAAIgDAAAAAA==&#10;" fillcolor="window" stroked="f" strokeweight="1pt">
                      <v:fill opacity="0"/>
                    </v:rect>
                    <v:shapetype id="_x0000_t202" coordsize="21600,21600" o:spt="202" path="m,l,21600r21600,l21600,xe">
                      <v:stroke joinstyle="miter"/>
                      <v:path gradientshapeok="t" o:connecttype="rect"/>
                    </v:shapetype>
                    <v:shape id="Text Box 8"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Hfr8A&#10;AADaAAAADwAAAGRycy9kb3ducmV2LnhtbERPS27CMBDdI/UO1lRiR5yyQCjFoKotEivE7wCjeJqk&#10;jcep7SSG0+MFEsun919tomnFQM43lhW8ZTkI4tLqhisFl/N2tgThA7LG1jIpuJKHzfplssJC25GP&#10;NJxCJVII+wIV1CF0hZS+rMmgz2xHnLgf6wyGBF0ltcMxhZtWzvN8IQ02nBpq7OizpvLv1BsFh0GX&#10;oZ+PX7d9/h/72/f+18Veqelr/HgHESiGp/jh3mkFaWu6km6AX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pEd+vwAAANoAAAAPAAAAAAAAAAAAAAAAAJgCAABkcnMvZG93bnJl&#10;di54bWxQSwUGAAAAAAQABAD1AAAAhAMAAAAA&#10;" filled="f" stroked="f" strokeweight=".5pt">
                      <v:textbox style="mso-fit-shape-to-text:t" inset="0,,0">
                        <w:txbxContent>
                          <w:p w:rsidR="00461082" w:rsidRDefault="00461082" w:rsidP="00461082">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r w:rsidRPr="00461082">
            <w:rPr>
              <w:rFonts w:ascii="Arial" w:eastAsia="Arial" w:hAnsi="Arial" w:cs="Arial"/>
              <w:color w:val="000000"/>
              <w:sz w:val="12"/>
              <w:szCs w:val="12"/>
              <w:highlight w:val="white"/>
            </w:rPr>
            <w:t>DOL Disclaimer:  “This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c>
        <w:tcPr>
          <w:tcW w:w="1014" w:type="dxa"/>
          <w:tcMar>
            <w:top w:w="0" w:type="dxa"/>
            <w:left w:w="0" w:type="dxa"/>
            <w:bottom w:w="0" w:type="dxa"/>
            <w:right w:w="0" w:type="dxa"/>
          </w:tcMar>
          <w:vAlign w:val="center"/>
        </w:tcPr>
        <w:p w:rsidR="00461082" w:rsidRPr="00461082" w:rsidRDefault="00461082" w:rsidP="00461082">
          <w:pPr>
            <w:widowControl w:val="0"/>
            <w:spacing w:after="0"/>
            <w:jc w:val="right"/>
            <w:rPr>
              <w:rFonts w:ascii="Arial" w:eastAsia="Arial" w:hAnsi="Arial" w:cs="Arial"/>
              <w:color w:val="000000"/>
            </w:rPr>
          </w:pPr>
        </w:p>
      </w:tc>
    </w:tr>
  </w:tbl>
  <w:p w:rsidR="00461082" w:rsidRDefault="0046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A6" w:rsidRDefault="006E7BA6" w:rsidP="00461082">
      <w:pPr>
        <w:spacing w:after="0"/>
      </w:pPr>
      <w:r>
        <w:separator/>
      </w:r>
    </w:p>
  </w:footnote>
  <w:footnote w:type="continuationSeparator" w:id="0">
    <w:p w:rsidR="006E7BA6" w:rsidRDefault="006E7BA6" w:rsidP="004610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82" w:rsidRDefault="00461082" w:rsidP="00461082">
    <w:pPr>
      <w:pStyle w:val="Header"/>
      <w:jc w:val="right"/>
    </w:pPr>
    <w:r>
      <w:rPr>
        <w:rFonts w:ascii="Calibri" w:eastAsia="Times New Roman" w:hAnsi="Calibri" w:cs="Helvetica"/>
        <w:noProof/>
        <w:color w:val="000000"/>
        <w:sz w:val="21"/>
        <w:szCs w:val="21"/>
      </w:rPr>
      <w:drawing>
        <wp:inline distT="0" distB="0" distL="0" distR="0" wp14:anchorId="70AA85F2" wp14:editId="58E19723">
          <wp:extent cx="2980055" cy="1238178"/>
          <wp:effectExtent l="0" t="0" r="0" b="635"/>
          <wp:docPr id="2" name="Picture 2" descr="cid:1DC3611D-75D0-42B6-8E78-99AA95211870@actx.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23DF8-EE00-4778-98E1-8EF754159792" descr="cid:1DC3611D-75D0-42B6-8E78-99AA95211870@actx.ed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24300" cy="1298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E59"/>
    <w:multiLevelType w:val="hybridMultilevel"/>
    <w:tmpl w:val="D1C8A4D6"/>
    <w:lvl w:ilvl="0" w:tplc="10002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2"/>
    <w:rsid w:val="002974BF"/>
    <w:rsid w:val="00425A4B"/>
    <w:rsid w:val="00461082"/>
    <w:rsid w:val="006E7BA6"/>
    <w:rsid w:val="006F22DE"/>
    <w:rsid w:val="00B878AC"/>
    <w:rsid w:val="00F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853D8-EC3E-4978-9C81-39A8A480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82"/>
    <w:pPr>
      <w:tabs>
        <w:tab w:val="center" w:pos="4680"/>
        <w:tab w:val="right" w:pos="9360"/>
      </w:tabs>
      <w:spacing w:after="0"/>
    </w:pPr>
  </w:style>
  <w:style w:type="character" w:customStyle="1" w:styleId="HeaderChar">
    <w:name w:val="Header Char"/>
    <w:basedOn w:val="DefaultParagraphFont"/>
    <w:link w:val="Header"/>
    <w:uiPriority w:val="99"/>
    <w:rsid w:val="00461082"/>
  </w:style>
  <w:style w:type="paragraph" w:styleId="Footer">
    <w:name w:val="footer"/>
    <w:basedOn w:val="Normal"/>
    <w:link w:val="FooterChar"/>
    <w:uiPriority w:val="99"/>
    <w:unhideWhenUsed/>
    <w:rsid w:val="00461082"/>
    <w:pPr>
      <w:tabs>
        <w:tab w:val="center" w:pos="4680"/>
        <w:tab w:val="right" w:pos="9360"/>
      </w:tabs>
      <w:spacing w:after="0"/>
    </w:pPr>
  </w:style>
  <w:style w:type="character" w:customStyle="1" w:styleId="FooterChar">
    <w:name w:val="Footer Char"/>
    <w:basedOn w:val="DefaultParagraphFont"/>
    <w:link w:val="Footer"/>
    <w:uiPriority w:val="99"/>
    <w:rsid w:val="00461082"/>
  </w:style>
  <w:style w:type="paragraph" w:styleId="ListParagraph">
    <w:name w:val="List Paragraph"/>
    <w:basedOn w:val="Normal"/>
    <w:uiPriority w:val="34"/>
    <w:qFormat/>
    <w:rsid w:val="0042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4.0/" TargetMode="External"/><Relationship Id="rId1" Type="http://schemas.openxmlformats.org/officeDocument/2006/relationships/hyperlink" Target="http://www.actx.edu" TargetMode="External"/><Relationship Id="rId4" Type="http://schemas.openxmlformats.org/officeDocument/2006/relationships/hyperlink" Target="http://www.actx.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DC3611D-75D0-42B6-8E78-99AA95211870@actx.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 Johnston</dc:creator>
  <cp:keywords/>
  <dc:description/>
  <cp:lastModifiedBy>Janice M. Johnston</cp:lastModifiedBy>
  <cp:revision>2</cp:revision>
  <dcterms:created xsi:type="dcterms:W3CDTF">2016-10-10T20:58:00Z</dcterms:created>
  <dcterms:modified xsi:type="dcterms:W3CDTF">2016-10-10T20:58:00Z</dcterms:modified>
</cp:coreProperties>
</file>