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B2" w:rsidRDefault="002B02B2" w:rsidP="002B02B2">
      <w:r>
        <w:t>This module is designed to enhance and illustrate Just in Time Patient Teaching for healthcare students who have received initial instruction or information on this topic.</w:t>
      </w:r>
    </w:p>
    <w:p w:rsidR="002B02B2" w:rsidRDefault="002B02B2" w:rsidP="002B02B2">
      <w:pPr>
        <w:spacing w:after="240"/>
      </w:pPr>
      <w:r>
        <w:t xml:space="preserve">This is accomplished through seven video scenarios that show various healthcare professionals using the five-step process to teach a patient. Each scenario focuses on specific patient needs and models the proper way to educate patients. Students are asked to respond to each scenario to determine their knowledge of patient teaching. </w:t>
      </w:r>
    </w:p>
    <w:tbl>
      <w:tblPr>
        <w:tblW w:w="936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15" w:type="dxa"/>
          <w:left w:w="144" w:type="dxa"/>
          <w:bottom w:w="115" w:type="dxa"/>
          <w:right w:w="144" w:type="dxa"/>
        </w:tblCellMar>
        <w:tblLook w:val="04A0" w:firstRow="1" w:lastRow="0" w:firstColumn="1" w:lastColumn="0" w:noHBand="0" w:noVBand="1"/>
      </w:tblPr>
      <w:tblGrid>
        <w:gridCol w:w="1476"/>
        <w:gridCol w:w="7884"/>
        <w:tblGridChange w:id="0">
          <w:tblGrid>
            <w:gridCol w:w="1476"/>
            <w:gridCol w:w="7884"/>
          </w:tblGrid>
        </w:tblGridChange>
      </w:tblGrid>
      <w:tr w:rsidR="002B02B2" w:rsidRPr="0097672A" w:rsidTr="00DF1BE1">
        <w:trPr>
          <w:jc w:val="center"/>
        </w:trPr>
        <w:tc>
          <w:tcPr>
            <w:tcW w:w="1476" w:type="dxa"/>
            <w:shd w:val="clear" w:color="auto" w:fill="auto"/>
            <w:tcMar>
              <w:top w:w="72" w:type="dxa"/>
              <w:bottom w:w="115" w:type="dxa"/>
            </w:tcMar>
            <w:vAlign w:val="center"/>
          </w:tcPr>
          <w:p w:rsidR="002B02B2" w:rsidRPr="00AE3467" w:rsidRDefault="002B02B2" w:rsidP="00DF1BE1">
            <w:pPr>
              <w:spacing w:after="0" w:line="240" w:lineRule="auto"/>
            </w:pPr>
            <w:r>
              <w:rPr>
                <w:rFonts w:eastAsia="Tahoma"/>
                <w:b/>
                <w:bCs/>
                <w:color w:val="000000"/>
                <w:kern w:val="24"/>
              </w:rPr>
              <w:t>Scenario 1</w:t>
            </w:r>
          </w:p>
        </w:tc>
        <w:tc>
          <w:tcPr>
            <w:tcW w:w="7884" w:type="dxa"/>
            <w:shd w:val="clear" w:color="auto" w:fill="auto"/>
            <w:tcMar>
              <w:top w:w="72" w:type="dxa"/>
              <w:bottom w:w="115" w:type="dxa"/>
            </w:tcMar>
          </w:tcPr>
          <w:p w:rsidR="002B02B2" w:rsidRPr="00F43199" w:rsidRDefault="002B02B2" w:rsidP="00DF1BE1">
            <w:pPr>
              <w:pStyle w:val="quote"/>
              <w:spacing w:before="0" w:after="0"/>
              <w:ind w:firstLine="0"/>
              <w:rPr>
                <w:i w:val="0"/>
              </w:rPr>
            </w:pPr>
            <w:r w:rsidRPr="00F43199">
              <w:rPr>
                <w:i w:val="0"/>
              </w:rPr>
              <w:t>Licensed Vocational Nurse/Practical Nurse teaching how to collect an occult blood stool specimen.</w:t>
            </w:r>
          </w:p>
        </w:tc>
      </w:tr>
      <w:tr w:rsidR="002B02B2" w:rsidRPr="0097672A" w:rsidTr="00DF1BE1">
        <w:trPr>
          <w:trHeight w:val="107"/>
          <w:jc w:val="center"/>
        </w:trPr>
        <w:tc>
          <w:tcPr>
            <w:tcW w:w="1476" w:type="dxa"/>
            <w:tcBorders>
              <w:bottom w:val="single" w:sz="4" w:space="0" w:color="D9D9D9"/>
            </w:tcBorders>
            <w:shd w:val="pct5" w:color="auto" w:fill="auto"/>
            <w:tcMar>
              <w:top w:w="72" w:type="dxa"/>
              <w:bottom w:w="115" w:type="dxa"/>
            </w:tcMar>
            <w:vAlign w:val="center"/>
          </w:tcPr>
          <w:p w:rsidR="002B02B2" w:rsidRPr="0097672A" w:rsidRDefault="002B02B2" w:rsidP="00DF1BE1">
            <w:pPr>
              <w:spacing w:after="0" w:line="240" w:lineRule="auto"/>
              <w:rPr>
                <w:rFonts w:eastAsia="Tahoma"/>
                <w:b/>
                <w:bCs/>
                <w:color w:val="000000"/>
                <w:kern w:val="24"/>
              </w:rPr>
            </w:pPr>
            <w:r>
              <w:rPr>
                <w:rFonts w:eastAsia="Tahoma"/>
                <w:b/>
                <w:bCs/>
                <w:color w:val="000000"/>
                <w:kern w:val="24"/>
              </w:rPr>
              <w:t>Scenario 2</w:t>
            </w:r>
          </w:p>
        </w:tc>
        <w:tc>
          <w:tcPr>
            <w:tcW w:w="7884" w:type="dxa"/>
            <w:tcBorders>
              <w:bottom w:val="single" w:sz="4" w:space="0" w:color="D9D9D9"/>
            </w:tcBorders>
            <w:shd w:val="pct5" w:color="auto" w:fill="auto"/>
            <w:tcMar>
              <w:top w:w="72" w:type="dxa"/>
              <w:bottom w:w="115" w:type="dxa"/>
            </w:tcMar>
          </w:tcPr>
          <w:p w:rsidR="002B02B2" w:rsidRPr="0097672A" w:rsidRDefault="002B02B2" w:rsidP="00DF1BE1">
            <w:pPr>
              <w:pStyle w:val="quote"/>
              <w:spacing w:before="0" w:after="0"/>
              <w:ind w:firstLine="0"/>
              <w:rPr>
                <w:i w:val="0"/>
              </w:rPr>
            </w:pPr>
            <w:r w:rsidRPr="00F43199">
              <w:rPr>
                <w:i w:val="0"/>
              </w:rPr>
              <w:t>Medical Laboratory Technician teaching how to collect a 24-hour urine specimen for a creatinine clearance test</w:t>
            </w:r>
          </w:p>
        </w:tc>
      </w:tr>
      <w:tr w:rsidR="002B02B2" w:rsidRPr="0097672A" w:rsidTr="00DF1BE1">
        <w:trPr>
          <w:trHeight w:val="107"/>
          <w:jc w:val="center"/>
        </w:trPr>
        <w:tc>
          <w:tcPr>
            <w:tcW w:w="1476"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vAlign w:val="center"/>
          </w:tcPr>
          <w:p w:rsidR="002B02B2" w:rsidRPr="0097672A" w:rsidRDefault="002B02B2" w:rsidP="00DF1BE1">
            <w:pPr>
              <w:spacing w:after="0" w:line="240" w:lineRule="auto"/>
              <w:rPr>
                <w:rFonts w:eastAsia="Tahoma"/>
                <w:b/>
                <w:bCs/>
                <w:color w:val="000000"/>
                <w:kern w:val="24"/>
              </w:rPr>
            </w:pPr>
            <w:r>
              <w:rPr>
                <w:rFonts w:eastAsia="Tahoma"/>
                <w:b/>
                <w:bCs/>
                <w:color w:val="000000"/>
                <w:kern w:val="24"/>
              </w:rPr>
              <w:t>Scenario 3</w:t>
            </w:r>
          </w:p>
        </w:tc>
        <w:tc>
          <w:tcPr>
            <w:tcW w:w="7884"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tcPr>
          <w:p w:rsidR="002B02B2" w:rsidRPr="00185826" w:rsidRDefault="002B02B2" w:rsidP="00DF1BE1">
            <w:pPr>
              <w:pStyle w:val="quote"/>
              <w:spacing w:before="0" w:after="0"/>
              <w:ind w:firstLine="0"/>
              <w:rPr>
                <w:i w:val="0"/>
              </w:rPr>
            </w:pPr>
            <w:r w:rsidRPr="00F43199">
              <w:rPr>
                <w:i w:val="0"/>
              </w:rPr>
              <w:t>Medical Assistant teaching a mother how to prevent future urinary tract infections in her three year old daughter</w:t>
            </w:r>
          </w:p>
        </w:tc>
      </w:tr>
      <w:tr w:rsidR="002B02B2" w:rsidRPr="0097672A" w:rsidTr="00DF1BE1">
        <w:trPr>
          <w:trHeight w:val="107"/>
          <w:jc w:val="center"/>
        </w:trPr>
        <w:tc>
          <w:tcPr>
            <w:tcW w:w="1476"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vAlign w:val="center"/>
          </w:tcPr>
          <w:p w:rsidR="002B02B2" w:rsidRPr="0097672A" w:rsidRDefault="002B02B2" w:rsidP="00DF1BE1">
            <w:pPr>
              <w:spacing w:after="0" w:line="240" w:lineRule="auto"/>
              <w:rPr>
                <w:rFonts w:eastAsia="Tahoma"/>
                <w:b/>
                <w:bCs/>
                <w:color w:val="000000"/>
                <w:kern w:val="24"/>
              </w:rPr>
            </w:pPr>
            <w:r>
              <w:rPr>
                <w:rFonts w:eastAsia="Tahoma"/>
                <w:b/>
                <w:bCs/>
                <w:color w:val="000000"/>
                <w:kern w:val="24"/>
              </w:rPr>
              <w:t>Scenario 4</w:t>
            </w:r>
          </w:p>
        </w:tc>
        <w:tc>
          <w:tcPr>
            <w:tcW w:w="7884"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tcPr>
          <w:p w:rsidR="002B02B2" w:rsidRPr="00185826" w:rsidRDefault="002B02B2" w:rsidP="00DF1BE1">
            <w:pPr>
              <w:pStyle w:val="quote"/>
              <w:spacing w:before="0" w:after="0"/>
              <w:ind w:firstLine="0"/>
              <w:rPr>
                <w:i w:val="0"/>
              </w:rPr>
            </w:pPr>
            <w:r w:rsidRPr="00F43199">
              <w:rPr>
                <w:i w:val="0"/>
              </w:rPr>
              <w:t>Respiratory Therapist teaching a patient about diuretic medications</w:t>
            </w:r>
          </w:p>
        </w:tc>
      </w:tr>
      <w:tr w:rsidR="002B02B2" w:rsidRPr="0097672A" w:rsidTr="00DF1BE1">
        <w:trPr>
          <w:trHeight w:val="107"/>
          <w:jc w:val="center"/>
        </w:trPr>
        <w:tc>
          <w:tcPr>
            <w:tcW w:w="1476"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vAlign w:val="center"/>
          </w:tcPr>
          <w:p w:rsidR="002B02B2" w:rsidRDefault="002B02B2" w:rsidP="00DF1BE1">
            <w:pPr>
              <w:spacing w:after="0" w:line="240" w:lineRule="auto"/>
              <w:rPr>
                <w:rFonts w:eastAsia="Tahoma"/>
                <w:b/>
                <w:bCs/>
                <w:color w:val="000000"/>
                <w:kern w:val="24"/>
              </w:rPr>
            </w:pPr>
            <w:r>
              <w:rPr>
                <w:rFonts w:eastAsia="Tahoma"/>
                <w:b/>
                <w:bCs/>
                <w:color w:val="000000"/>
                <w:kern w:val="24"/>
              </w:rPr>
              <w:t>Scenario 5</w:t>
            </w:r>
          </w:p>
        </w:tc>
        <w:tc>
          <w:tcPr>
            <w:tcW w:w="7884"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tcPr>
          <w:p w:rsidR="002B02B2" w:rsidRPr="00185826" w:rsidRDefault="002B02B2" w:rsidP="00DF1BE1">
            <w:pPr>
              <w:pStyle w:val="quote"/>
              <w:spacing w:before="0" w:after="0"/>
              <w:ind w:firstLine="0"/>
              <w:rPr>
                <w:i w:val="0"/>
              </w:rPr>
            </w:pPr>
            <w:r w:rsidRPr="00F43199">
              <w:rPr>
                <w:i w:val="0"/>
              </w:rPr>
              <w:t>Dietary Technician teaching a patient about statin medications</w:t>
            </w:r>
          </w:p>
        </w:tc>
      </w:tr>
      <w:tr w:rsidR="002B02B2" w:rsidRPr="0097672A" w:rsidTr="00DF1BE1">
        <w:trPr>
          <w:trHeight w:val="107"/>
          <w:jc w:val="center"/>
        </w:trPr>
        <w:tc>
          <w:tcPr>
            <w:tcW w:w="1476"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vAlign w:val="center"/>
          </w:tcPr>
          <w:p w:rsidR="002B02B2" w:rsidRDefault="002B02B2" w:rsidP="00DF1BE1">
            <w:pPr>
              <w:spacing w:after="0" w:line="240" w:lineRule="auto"/>
              <w:rPr>
                <w:rFonts w:eastAsia="Tahoma"/>
                <w:b/>
                <w:bCs/>
                <w:color w:val="000000"/>
                <w:kern w:val="24"/>
              </w:rPr>
            </w:pPr>
            <w:r>
              <w:rPr>
                <w:rFonts w:eastAsia="Tahoma"/>
                <w:b/>
                <w:bCs/>
                <w:color w:val="000000"/>
                <w:kern w:val="24"/>
              </w:rPr>
              <w:t>Scenario 6</w:t>
            </w:r>
          </w:p>
        </w:tc>
        <w:tc>
          <w:tcPr>
            <w:tcW w:w="7884"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tcPr>
          <w:p w:rsidR="002B02B2" w:rsidRPr="00185826" w:rsidRDefault="002B02B2" w:rsidP="00DF1BE1">
            <w:pPr>
              <w:pStyle w:val="quote"/>
              <w:spacing w:before="0" w:after="0"/>
              <w:ind w:firstLine="0"/>
              <w:rPr>
                <w:i w:val="0"/>
              </w:rPr>
            </w:pPr>
            <w:r w:rsidRPr="00F43199">
              <w:rPr>
                <w:i w:val="0"/>
              </w:rPr>
              <w:t>Nurse teaching a patient about hypertensive medications</w:t>
            </w:r>
          </w:p>
        </w:tc>
      </w:tr>
      <w:tr w:rsidR="002B02B2" w:rsidRPr="0097672A" w:rsidTr="00DF1BE1">
        <w:trPr>
          <w:trHeight w:val="107"/>
          <w:jc w:val="center"/>
        </w:trPr>
        <w:tc>
          <w:tcPr>
            <w:tcW w:w="1476"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vAlign w:val="center"/>
          </w:tcPr>
          <w:p w:rsidR="002B02B2" w:rsidRDefault="002B02B2" w:rsidP="00DF1BE1">
            <w:pPr>
              <w:spacing w:after="0" w:line="240" w:lineRule="auto"/>
              <w:rPr>
                <w:rFonts w:eastAsia="Tahoma"/>
                <w:b/>
                <w:bCs/>
                <w:color w:val="000000"/>
                <w:kern w:val="24"/>
              </w:rPr>
            </w:pPr>
            <w:r>
              <w:rPr>
                <w:rFonts w:eastAsia="Tahoma"/>
                <w:b/>
                <w:bCs/>
                <w:color w:val="000000"/>
                <w:kern w:val="24"/>
              </w:rPr>
              <w:t>Scenario 7</w:t>
            </w:r>
          </w:p>
        </w:tc>
        <w:tc>
          <w:tcPr>
            <w:tcW w:w="7884"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tcPr>
          <w:p w:rsidR="002B02B2" w:rsidRPr="00185826" w:rsidRDefault="002B02B2" w:rsidP="00DF1BE1">
            <w:pPr>
              <w:pStyle w:val="quote"/>
              <w:spacing w:before="0" w:after="0"/>
              <w:ind w:firstLine="0"/>
              <w:rPr>
                <w:i w:val="0"/>
              </w:rPr>
            </w:pPr>
            <w:r w:rsidRPr="00F43199">
              <w:rPr>
                <w:i w:val="0"/>
              </w:rPr>
              <w:t>Diagnostic Medical Sonographer teaching a patient about the importance of taking folic acid during pregnancy</w:t>
            </w:r>
          </w:p>
        </w:tc>
      </w:tr>
    </w:tbl>
    <w:p w:rsidR="002B02B2" w:rsidRDefault="002B02B2" w:rsidP="002B02B2">
      <w:pPr>
        <w:pStyle w:val="lineHead"/>
      </w:pPr>
      <w:r>
        <w:t>RESOURCES</w:t>
      </w:r>
    </w:p>
    <w:p w:rsidR="002B02B2" w:rsidRDefault="002B02B2" w:rsidP="002B02B2">
      <w:r>
        <w:t>This module also contains the following resource materials available to download and printout:</w:t>
      </w:r>
    </w:p>
    <w:p w:rsidR="002B02B2" w:rsidRDefault="002B02B2" w:rsidP="002B02B2">
      <w:pPr>
        <w:numPr>
          <w:ilvl w:val="0"/>
          <w:numId w:val="1"/>
        </w:numPr>
      </w:pPr>
      <w:r>
        <w:t>Full Transcript</w:t>
      </w:r>
    </w:p>
    <w:p w:rsidR="002B02B2" w:rsidRDefault="002B02B2" w:rsidP="002B02B2">
      <w:pPr>
        <w:numPr>
          <w:ilvl w:val="0"/>
          <w:numId w:val="1"/>
        </w:numPr>
      </w:pPr>
      <w:r>
        <w:t>Five-Step Patient Teaching Process</w:t>
      </w:r>
    </w:p>
    <w:p w:rsidR="002B02B2" w:rsidRDefault="002B02B2" w:rsidP="002B02B2">
      <w:pPr>
        <w:numPr>
          <w:ilvl w:val="0"/>
          <w:numId w:val="1"/>
        </w:numPr>
      </w:pPr>
      <w:r>
        <w:t>Patient Information regarding Diuretic Medication</w:t>
      </w:r>
    </w:p>
    <w:p w:rsidR="002B02B2" w:rsidRDefault="002B02B2" w:rsidP="002B02B2">
      <w:pPr>
        <w:numPr>
          <w:ilvl w:val="0"/>
          <w:numId w:val="1"/>
        </w:numPr>
      </w:pPr>
      <w:r>
        <w:t>Steps to Treat Current UTI and Prevent Future Ones</w:t>
      </w:r>
    </w:p>
    <w:p w:rsidR="002B02B2" w:rsidRDefault="002B02B2" w:rsidP="002B02B2">
      <w:pPr>
        <w:pStyle w:val="lineHead"/>
      </w:pPr>
      <w:r>
        <w:t>POTENTIAL USES OF THIS MODULE</w:t>
      </w:r>
    </w:p>
    <w:p w:rsidR="002B02B2" w:rsidRDefault="002B02B2" w:rsidP="002B02B2">
      <w:pPr>
        <w:numPr>
          <w:ilvl w:val="0"/>
          <w:numId w:val="2"/>
        </w:numPr>
      </w:pPr>
      <w:r>
        <w:t>Enhancement of course materials at secondary, post-secondary, and professional levels</w:t>
      </w:r>
    </w:p>
    <w:p w:rsidR="002B02B2" w:rsidRDefault="002B02B2" w:rsidP="002B02B2">
      <w:pPr>
        <w:numPr>
          <w:ilvl w:val="0"/>
          <w:numId w:val="2"/>
        </w:numPr>
      </w:pPr>
      <w:r>
        <w:t>Review after class presentation</w:t>
      </w:r>
    </w:p>
    <w:p w:rsidR="002B02B2" w:rsidRDefault="002B02B2" w:rsidP="002B02B2">
      <w:pPr>
        <w:numPr>
          <w:ilvl w:val="0"/>
          <w:numId w:val="2"/>
        </w:numPr>
      </w:pPr>
      <w:r>
        <w:t>In-class discussions after each scenario</w:t>
      </w:r>
    </w:p>
    <w:p w:rsidR="002B02B2" w:rsidRDefault="002B02B2" w:rsidP="002B02B2">
      <w:pPr>
        <w:numPr>
          <w:ilvl w:val="0"/>
          <w:numId w:val="2"/>
        </w:numPr>
      </w:pPr>
      <w:r>
        <w:lastRenderedPageBreak/>
        <w:t xml:space="preserve">Assignment to verify knowledge </w:t>
      </w:r>
    </w:p>
    <w:p w:rsidR="002B02B2" w:rsidRDefault="002B02B2" w:rsidP="002B02B2">
      <w:pPr>
        <w:numPr>
          <w:ilvl w:val="0"/>
          <w:numId w:val="2"/>
        </w:numPr>
      </w:pPr>
      <w:r>
        <w:t>Preparation for an examination on this topic</w:t>
      </w:r>
    </w:p>
    <w:p w:rsidR="002B02B2" w:rsidRDefault="002B02B2" w:rsidP="002B02B2">
      <w:pPr>
        <w:numPr>
          <w:ilvl w:val="0"/>
          <w:numId w:val="2"/>
        </w:numPr>
      </w:pPr>
      <w:r>
        <w:t>Refresher for students, healthcare professionals or employees</w:t>
      </w:r>
    </w:p>
    <w:p w:rsidR="002B02B2" w:rsidRPr="009B2874" w:rsidRDefault="002B02B2" w:rsidP="002B02B2">
      <w:pPr>
        <w:numPr>
          <w:ilvl w:val="0"/>
          <w:numId w:val="2"/>
        </w:numPr>
      </w:pPr>
      <w:r>
        <w:t>Professional development activities</w:t>
      </w:r>
    </w:p>
    <w:p w:rsidR="002B02B2" w:rsidRDefault="002B02B2" w:rsidP="002B02B2">
      <w:pPr>
        <w:spacing w:before="4920" w:after="720"/>
      </w:pPr>
      <w:r>
        <w:t>This workforce solution was funded by a grant awarded by the U.S. Departmen</w:t>
      </w:r>
      <w:bookmarkStart w:id="1" w:name="_GoBack"/>
      <w:bookmarkEnd w:id="1"/>
      <w:r>
        <w:t>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adequacy, continued availability, or ownership.</w:t>
      </w:r>
    </w:p>
    <w:p w:rsidR="002B02B2" w:rsidRPr="002B02B2" w:rsidRDefault="002B02B2" w:rsidP="002B02B2">
      <w:pPr>
        <w:spacing w:before="100" w:beforeAutospacing="1" w:after="100" w:afterAutospacing="1" w:line="276" w:lineRule="auto"/>
        <w:rPr>
          <w:rFonts w:ascii="Arial" w:eastAsia="Times New Roman" w:hAnsi="Arial" w:cs="Arial"/>
        </w:rPr>
      </w:pPr>
      <w:r w:rsidRPr="000631DA">
        <w:rPr>
          <w:rFonts w:eastAsia="Times New Roman"/>
          <w:noProof/>
        </w:rPr>
        <w:drawing>
          <wp:inline distT="0" distB="0" distL="0" distR="0" wp14:anchorId="14C8DC36" wp14:editId="78B4CA46">
            <wp:extent cx="762000" cy="266700"/>
            <wp:effectExtent l="0" t="0" r="0" b="0"/>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2B02B2">
        <w:rPr>
          <w:rFonts w:ascii="Arial" w:eastAsia="Times New Roman" w:hAnsi="Arial" w:cs="Arial"/>
        </w:rPr>
        <w:t xml:space="preserve">  </w:t>
      </w:r>
      <w:r w:rsidRPr="002B02B2">
        <w:rPr>
          <w:rFonts w:ascii="Arial" w:eastAsiaTheme="minorHAnsi" w:hAnsi="Arial" w:cs="Arial"/>
        </w:rPr>
        <w:t xml:space="preserve">This work by the Health Professions Pathways (H2P) Consortium, a Department of Labor, TAACCCT funded project is licensed under a </w:t>
      </w:r>
      <w:hyperlink r:id="rId6" w:history="1">
        <w:r w:rsidRPr="002B02B2">
          <w:rPr>
            <w:rFonts w:ascii="Arial" w:eastAsiaTheme="minorHAnsi" w:hAnsi="Arial" w:cs="Arial"/>
            <w:color w:val="0563C1" w:themeColor="hyperlink"/>
            <w:u w:val="single"/>
          </w:rPr>
          <w:t>Creative</w:t>
        </w:r>
        <w:r w:rsidRPr="002B02B2">
          <w:rPr>
            <w:rFonts w:ascii="Arial" w:eastAsiaTheme="minorHAnsi" w:hAnsi="Arial" w:cs="Arial"/>
            <w:color w:val="0563C1" w:themeColor="hyperlink"/>
            <w:u w:val="single"/>
          </w:rPr>
          <w:t xml:space="preserve"> </w:t>
        </w:r>
        <w:r w:rsidRPr="002B02B2">
          <w:rPr>
            <w:rFonts w:ascii="Arial" w:eastAsiaTheme="minorHAnsi" w:hAnsi="Arial" w:cs="Arial"/>
            <w:color w:val="0563C1" w:themeColor="hyperlink"/>
            <w:u w:val="single"/>
          </w:rPr>
          <w:t>Commons Attribution 4.0 Unported License</w:t>
        </w:r>
      </w:hyperlink>
      <w:r w:rsidRPr="002B02B2">
        <w:rPr>
          <w:rFonts w:ascii="Arial" w:eastAsiaTheme="minorHAnsi" w:hAnsi="Arial" w:cs="Arial"/>
        </w:rPr>
        <w:t>.</w:t>
      </w:r>
    </w:p>
    <w:p w:rsidR="00F1273A" w:rsidRDefault="00F1273A"/>
    <w:sectPr w:rsidR="00F1273A" w:rsidSect="001D4A36">
      <w:headerReference w:type="default" r:id="rId7"/>
      <w:footerReference w:type="default" r:id="rId8"/>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02" w:rsidRDefault="002B02B2" w:rsidP="001D4A36">
    <w:pPr>
      <w:pStyle w:val="Footer"/>
    </w:pPr>
  </w:p>
  <w:p w:rsidR="00334EA4" w:rsidRDefault="002B02B2" w:rsidP="001D4A36">
    <w:pPr>
      <w:pStyle w:val="Footer"/>
    </w:pPr>
    <w:r w:rsidRPr="00265FBD">
      <w:t xml:space="preserve">HEALTH PROFESSIONS PATHWAYS: </w:t>
    </w:r>
    <w:r>
      <w:t>PATIENT TEACHING</w:t>
    </w:r>
    <w:r w:rsidRPr="00265FBD">
      <w:tab/>
    </w:r>
    <w:r w:rsidRPr="00265FBD">
      <w:fldChar w:fldCharType="begin"/>
    </w:r>
    <w:r w:rsidRPr="00265FBD">
      <w:instrText xml:space="preserve"> PAGE </w:instrText>
    </w:r>
    <w:r w:rsidRPr="00265FBD">
      <w:fldChar w:fldCharType="separate"/>
    </w:r>
    <w:r>
      <w:rPr>
        <w:noProof/>
      </w:rPr>
      <w:t>1</w:t>
    </w:r>
    <w:r w:rsidRPr="00265FBD">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A4" w:rsidRPr="001D4A36" w:rsidRDefault="002B02B2" w:rsidP="00E27D18">
    <w:pPr>
      <w:pStyle w:val="NormalWeb"/>
      <w:spacing w:after="480" w:afterAutospacing="0"/>
      <w:rPr>
        <w:rFonts w:ascii="Tahoma" w:eastAsia="Tahoma" w:hAnsi="Tahoma" w:cs="Tahoma"/>
        <w:b/>
        <w:color w:val="3176B7"/>
      </w:rPr>
    </w:pPr>
    <w:r w:rsidRPr="00137134">
      <w:rPr>
        <w:rFonts w:ascii="Tahoma" w:eastAsia="Tahoma" w:hAnsi="Tahoma" w:cs="Tahoma"/>
        <w:b/>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281305</wp:posOffset>
              </wp:positionV>
              <wp:extent cx="5943600" cy="73025"/>
              <wp:effectExtent l="9525" t="5080" r="9525" b="7620"/>
              <wp:wrapNone/>
              <wp:docPr id="1" name="Rectangle 1" descr="Rectangle Line used to separate content" title="Rectangle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025"/>
                      </a:xfrm>
                      <a:prstGeom prst="rect">
                        <a:avLst/>
                      </a:prstGeom>
                      <a:gradFill rotWithShape="1">
                        <a:gsLst>
                          <a:gs pos="0">
                            <a:srgbClr val="000000"/>
                          </a:gs>
                          <a:gs pos="100000">
                            <a:srgbClr val="FFFFFF"/>
                          </a:gs>
                        </a:gsLst>
                        <a:lin ang="5400000" scaled="1"/>
                      </a:gra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98AA1" id="Rectangle 1" o:spid="_x0000_s1026" alt="Title: Rectangle Line - Description: Rectangle Line used to separate content" style="position:absolute;margin-left:0;margin-top:22.15pt;width:468pt;height: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" fillcolor="black" strokecolor="white" strokeweight="0">
              <v:fill rotate="t" focus="100%" type="gradient"/>
              <w10:wrap anchorx="margin"/>
            </v:rect>
          </w:pict>
        </mc:Fallback>
      </mc:AlternateContent>
    </w:r>
    <w:r>
      <w:rPr>
        <w:rFonts w:ascii="Tahoma" w:eastAsia="Tahoma" w:hAnsi="Tahoma" w:cs="Tahoma"/>
        <w:b/>
        <w:sz w:val="28"/>
      </w:rPr>
      <w:t>PATIENT TEACHING</w:t>
    </w:r>
    <w:r w:rsidRPr="00137134">
      <w:rPr>
        <w:rFonts w:ascii="Tahoma" w:eastAsia="Tahoma" w:hAnsi="Tahoma" w:cs="Tahoma"/>
        <w:b/>
        <w:sz w:val="28"/>
      </w:rPr>
      <w:t>: LEADER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40585"/>
    <w:multiLevelType w:val="hybridMultilevel"/>
    <w:tmpl w:val="F85E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4378D"/>
    <w:multiLevelType w:val="hybridMultilevel"/>
    <w:tmpl w:val="D85E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B2"/>
    <w:rsid w:val="002B02B2"/>
    <w:rsid w:val="00F1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C3028B-C0EA-46F2-9277-837F394B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B2"/>
    <w:rPr>
      <w:rFonts w:ascii="Tahoma" w:eastAsia="Calibri"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link w:val="quoteChar"/>
    <w:qFormat/>
    <w:rsid w:val="002B02B2"/>
    <w:pPr>
      <w:spacing w:before="120" w:after="60" w:line="240" w:lineRule="auto"/>
      <w:ind w:firstLine="720"/>
    </w:pPr>
    <w:rPr>
      <w:rFonts w:eastAsia="Tahoma"/>
      <w:i/>
    </w:rPr>
  </w:style>
  <w:style w:type="paragraph" w:customStyle="1" w:styleId="lineHead">
    <w:name w:val="lineHead"/>
    <w:basedOn w:val="Normal"/>
    <w:link w:val="lineHeadChar"/>
    <w:qFormat/>
    <w:rsid w:val="002B02B2"/>
    <w:pPr>
      <w:spacing w:before="360" w:line="240" w:lineRule="auto"/>
    </w:pPr>
    <w:rPr>
      <w:rFonts w:eastAsia="Tahoma"/>
      <w:b/>
      <w:bCs/>
      <w:color w:val="000000"/>
      <w:kern w:val="24"/>
    </w:rPr>
  </w:style>
  <w:style w:type="character" w:customStyle="1" w:styleId="quoteChar">
    <w:name w:val="quote Char"/>
    <w:link w:val="quote"/>
    <w:rsid w:val="002B02B2"/>
    <w:rPr>
      <w:rFonts w:ascii="Tahoma" w:eastAsia="Tahoma" w:hAnsi="Tahoma" w:cs="Tahoma"/>
      <w:i/>
    </w:rPr>
  </w:style>
  <w:style w:type="character" w:customStyle="1" w:styleId="lineHeadChar">
    <w:name w:val="lineHead Char"/>
    <w:link w:val="lineHead"/>
    <w:rsid w:val="002B02B2"/>
    <w:rPr>
      <w:rFonts w:ascii="Tahoma" w:eastAsia="Tahoma" w:hAnsi="Tahoma" w:cs="Tahoma"/>
      <w:b/>
      <w:bCs/>
      <w:color w:val="000000"/>
      <w:kern w:val="24"/>
    </w:rPr>
  </w:style>
  <w:style w:type="paragraph" w:styleId="Footer">
    <w:name w:val="footer"/>
    <w:basedOn w:val="Normal"/>
    <w:link w:val="FooterChar"/>
    <w:uiPriority w:val="99"/>
    <w:unhideWhenUsed/>
    <w:rsid w:val="002B02B2"/>
    <w:pPr>
      <w:tabs>
        <w:tab w:val="center" w:pos="4680"/>
        <w:tab w:val="right" w:pos="9360"/>
      </w:tabs>
    </w:pPr>
  </w:style>
  <w:style w:type="character" w:customStyle="1" w:styleId="FooterChar">
    <w:name w:val="Footer Char"/>
    <w:basedOn w:val="DefaultParagraphFont"/>
    <w:link w:val="Footer"/>
    <w:uiPriority w:val="99"/>
    <w:rsid w:val="002B02B2"/>
    <w:rPr>
      <w:rFonts w:ascii="Tahoma" w:eastAsia="Calibri" w:hAnsi="Tahoma" w:cs="Tahoma"/>
    </w:rPr>
  </w:style>
  <w:style w:type="paragraph" w:styleId="ListParagraph">
    <w:name w:val="List Paragraph"/>
    <w:basedOn w:val="Normal"/>
    <w:uiPriority w:val="34"/>
    <w:qFormat/>
    <w:rsid w:val="002B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deed.en_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jean-win7</dc:creator>
  <cp:keywords>TAACCCT;Open Educational Resource;H2P Health Professions Pathways;Patient Teaching;eLearning;Simulation Module;El Centro College</cp:keywords>
  <dc:description/>
  <cp:lastModifiedBy>jean-win7</cp:lastModifiedBy>
  <cp:revision>1</cp:revision>
  <dcterms:created xsi:type="dcterms:W3CDTF">2015-05-29T01:19:00Z</dcterms:created>
  <dcterms:modified xsi:type="dcterms:W3CDTF">2015-05-29T01:23:00Z</dcterms:modified>
</cp:coreProperties>
</file>